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jc w:val="center"/>
        <w:outlineLvl w:val="1"/>
        <w:rPr>
          <w:rFonts w:ascii="Times New Roman" w:hAnsi="Times New Roman" w:eastAsia="方正小标宋_GBK" w:cs="Times New Roman"/>
          <w:bCs/>
          <w:color w:val="000000" w:themeColor="text1"/>
          <w:kern w:val="0"/>
          <w:sz w:val="35"/>
          <w:szCs w:val="35"/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35"/>
          <w:szCs w:val="35"/>
        </w:rPr>
        <w:t>党员干部因醉酒驾车被判处刑罚</w:t>
      </w:r>
    </w:p>
    <w:p>
      <w:pPr>
        <w:widowControl/>
        <w:shd w:val="clear" w:color="auto" w:fill="FFFFFF"/>
        <w:spacing w:line="660" w:lineRule="exact"/>
        <w:jc w:val="center"/>
        <w:outlineLvl w:val="1"/>
        <w:rPr>
          <w:rFonts w:ascii="Times New Roman" w:hAnsi="Times New Roman" w:eastAsia="方正小标宋_GBK" w:cs="Times New Roman"/>
          <w:bCs/>
          <w:color w:val="000000" w:themeColor="text1"/>
          <w:kern w:val="0"/>
          <w:sz w:val="35"/>
          <w:szCs w:val="35"/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35"/>
          <w:szCs w:val="35"/>
        </w:rPr>
        <w:t>应如何给予党政纪处分</w:t>
      </w:r>
    </w:p>
    <w:p>
      <w:pPr>
        <w:widowControl/>
        <w:pBdr>
          <w:bottom w:val="single" w:color="DDDDDD" w:sz="6" w:space="7"/>
        </w:pBdr>
        <w:shd w:val="clear" w:color="auto" w:fill="FFFFFF"/>
        <w:ind w:left="408"/>
        <w:jc w:val="center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</w:rPr>
      </w:pPr>
      <w:r>
        <w:rPr>
          <w:rFonts w:ascii="Times New Roman" w:hAnsi="宋体" w:eastAsia="宋体" w:cs="Times New Roman"/>
          <w:color w:val="000000"/>
          <w:kern w:val="0"/>
          <w:sz w:val="19"/>
        </w:rPr>
        <w:t>来源：中央纪委监察部网站</w:t>
      </w:r>
      <w:r>
        <w:rPr>
          <w:rFonts w:ascii="Times New Roman" w:hAnsi="Times New Roman" w:eastAsia="宋体" w:cs="Times New Roman"/>
          <w:color w:val="000000"/>
          <w:kern w:val="0"/>
          <w:sz w:val="19"/>
          <w:szCs w:val="19"/>
        </w:rPr>
        <w:t> 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22"/>
        </w:rPr>
        <w:t>　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22"/>
        </w:rPr>
        <w:t>　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一、基本案情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李某，中共党员，国家某行政机关管理局原副局长。</w:t>
      </w:r>
      <w:bookmarkStart w:id="0" w:name="_GoBack"/>
      <w:bookmarkEnd w:id="0"/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2015年7月8日晚，李某饮酒后驾车到单位取材料，被执勤民警当场查获，并抽取体内静脉血留存。后经司法鉴定，李某血液中酒精含量为91.2mg/100ml，已达到国家人体血液酒精含量标准中规定的醉酒标准。8月24日，李某因涉嫌犯危险驾驶罪被取保候审。12月23日，李某被免职。2016年1月5日，某人民法院作出刑事判决，认定李某的行为已构成危险驾驶罪，鉴于其认罪、悔罪态度较好，依法对其从轻处罚并适用缓刑，判处拘役一个月，缓刑二个月，罚金一千元。李某未提起上诉，判决已生效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　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　二、处理意见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对李某的上述行为，其所在单位纪委提出，依据《中国共产党纪律处分条例》第三十三条第一款第一项关于“因故意犯罪被依法判处刑法规定的主刑（含宣告缓刑）的”应当给予开除党籍处分的规定，本应给予其开除党籍处分，但考虑到其具有认错态度较好，在问题发生后第一时间向所在单位党委、纪委主动报告，本人工作表现一贯良好，醉酒驾车未造成不良后果等减轻处分情节，可否依据《中国共产党纪律处分条例》第十七条“根据案件的特殊情况，由中央纪委决定或者经省（部）级纪委（不含副省级市纪委）决定并呈报中央纪委批准，对违纪党员也可以在本条例规定的处分幅度以外减轻处分”的规定，按程序报中央纪委批准后，在处分幅度以外给予其留党察看二年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经认真研究，我们对本案涉及的两个问题进行了分析。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（一）醉酒驾车构成犯罪是否一律开除党籍。醉酒驾车行为具有高度危险性，极易造成恶性事故，严重威胁不特定多数人的生命、财产安全。为加大对此类行为的打击力度，2011年5月1日起施行的《刑法修正案（八）》规定，在道路上醉酒驾车，可处拘役，并处罚金。对党员干部触犯刑律应如何给予党政纪处分，《中国共产党章程》第三十八条第二款规定：“严重触犯刑律的党员必须开除党籍。”《中国共产党纪律处分条例》第三十三条第一款规定，具有以下三种情形之一的，应当开除党籍：一是因故意犯罪被依法判处刑法规定的主刑（含宣告缓刑）的；二是被单处或者附加剥夺政治权利的；三是因过失犯罪，被依法判处三年以上（不含三年）有期徒刑的。《行政机关公务员处分条例》第十七条第二款规定：“行政机关公务员依法被判处刑罚的，给予开除处分。”因此，本案中，依据上述规定应当给予李某开除党籍、行政开除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需要注意的是，对因醉酒驾车被免予刑事处罚的党员干部，依据《中国共产党纪律处分条例》第三十二条的规定，也应给予撤销党内职务以上处分。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（二）本案能否适用特殊减轻处分的规定。《中国共产党纪律处分条例》第三十三条第一款第一项关于“因故意犯罪被依法判处刑法规定的主刑（含宣告缓刑）的”应当给予开除党籍处分的情形，不能适用《中国共产党纪律处分条例》第十七条规定的特殊减轻处分规定。因为如果允许此种情形适用特殊减轻处分规定，也就是允许此种情况可以不开除党籍，那么就会与《中国共产党章程》第三十八条第二款关于“严重触犯刑律的党员必须开除党籍”的规定产生冲突。而《中国共产党章程》是党内根本大法，是一切党内法规的基本遵循，《中国共产党纪律处分条例》的具体适用不能突破《中国共产党章程》的规定。因此，对符合《中国共产党纪律处分条例》第三十三条第一款第一项规定情形的违纪行为，不能适用《中国共产党纪律处分条例》第十七条的规定给予减轻处分。本案中，对李某的行为应给予开除党籍处分，不能给予留党察看二年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需要注意的是，关于《中国共产党纪律处分条例》第十七条规定的减轻处分的“案件的特殊情况”。为了防止该条规定在执纪实践中被滥用，在程序方面设定了严格的要求，即只有中央纪委决定或者经省（部）级纪委（不含副省级市纪委）决定并呈报中央纪委批准，才可以对违纪党员在本条例规定的处分幅度以外减轻处分。也就是说，除中央纪委、省（部）级纪委外，其他各级纪委在执纪实践中，应层报省（部）级纪委决定后，呈报中央纪委批准，方可适用该条规定对违纪党员在规定的处分幅度以外减轻处分。因此，在执纪实践中，适用该条规定必须特别慎重。除《中国共产党纪律处分条例》第三十二条、第三十三条规定的情形一律不能适用该条规定外，《中国共产党纪律处分条例》中规定只有开除党籍一个处分档次的违纪行为，原则上不能适用该条规定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【法规链接】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1.《中国共产党章程》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第三十八条 党组织对违犯党的纪律的党员，应当本着惩前毖后、治病救人的精神，按照错误性质和情节轻重，给以批评教育直至纪律处分。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严重触犯刑律的党员必须开除党籍。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党内严格禁止用违反党章和国家法律的手段对待党员，严格禁止打击报复和诬告陷害。违反这些规定的组织或个人必须受到党的纪律和国家法律的追究。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2.《中国共产党纪律处分条例》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第十七条 根据案件的特殊情况，由中央纪委决定或者经省（部）级纪委（不含副省级市纪委）决定并呈报中央纪委批准，对违纪党员也可以在本条例规定的处分幅度以外减轻处分。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第三十二条 党员犯罪情节轻微，人民检察院依法作出不起诉决定的，或者人民法院依法作出有罪判决并免予刑事处罚的，应当给予撤销党内职务、留党察看或者开除党籍处分。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党员犯罪，被单处罚金的，依照前款规定处理。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第三十三条 党员犯罪，有下列情形之一的，应当给予开除党籍处分：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（一）因故意犯罪被依法判处刑法规定的主刑（含宣告缓刑）的；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（二）被单处或者附加剥夺政治权利的；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（三）因过失犯罪，被依法判处三年以上（不含三年）有期徒刑的。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因过失犯罪被判处三年以下（含三年）有期徒刑或者被判处管制、拘役的，一般应当开除党籍。对于个别可以不开除党籍的，应当对照处分党员批准权限的规定，报请再上一级党组织批准。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《政务处分法》第十四条：公职人员因犯罪情节轻微，人民检察院依法作出不起诉决定或者人民法院依法免于刑事处罚的，予以撤职；造成不良影响的，予以开除。在实践中，给予开除党籍的处分，并不必然开除公职，但基于政务处分与党纪处分相匹配的原则，应当同时给予政务撤职以上的重处分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4.《中华人民共和国刑法修正案（八）》（2011年5月1日起施行）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二十二、在刑法第一百三十三条后增加一条，作为第一百三十三条之一：“在道路上驾驶机动车追逐竞驶，情节恶劣的，或者在道路上醉酒驾驶机动车的，处拘役，并处罚金。</w:t>
      </w:r>
    </w:p>
    <w:p>
      <w:pPr>
        <w:widowControl/>
        <w:shd w:val="clear" w:color="auto" w:fill="FFFFFF"/>
        <w:spacing w:line="572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“有前款行为，同时构成其他犯罪的，依照处罚较重的规定定罪处罚。”</w:t>
      </w:r>
    </w:p>
    <w:p>
      <w:pPr>
        <w:spacing w:line="572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837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E3"/>
    <w:rsid w:val="001236E3"/>
    <w:rsid w:val="00B64E01"/>
    <w:rsid w:val="00E820D2"/>
    <w:rsid w:val="4E3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shar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5</Pages>
  <Words>402</Words>
  <Characters>2296</Characters>
  <Lines>19</Lines>
  <Paragraphs>5</Paragraphs>
  <TotalTime>4</TotalTime>
  <ScaleCrop>false</ScaleCrop>
  <LinksUpToDate>false</LinksUpToDate>
  <CharactersWithSpaces>2693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2020-11-17T07:15:00Z</dcterms:created>
  <dc:creator>W</dc:creator>
  <cp:lastModifiedBy>紫竹林</cp:lastModifiedBy>
  <cp:lastPrinted>2020-11-17T07:18:00Z</cp:lastPrinted>
  <dcterms:modified xsi:type="dcterms:W3CDTF">2020-11-18T07:44:08Z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