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9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361"/>
        <w:gridCol w:w="1961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spacing w:beforeLines="0" w:afterLines="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附件1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4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作品登记表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6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口主题标识类作品          □音乐类作品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口微电影、微视频、公益广告类作品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创作时间</w:t>
            </w:r>
          </w:p>
        </w:tc>
        <w:tc>
          <w:tcPr>
            <w:tcW w:w="6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作品简介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(200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以内)</w:t>
            </w:r>
          </w:p>
        </w:tc>
        <w:tc>
          <w:tcPr>
            <w:tcW w:w="6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主创人员(团队)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报送单位信息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报送单位</w:t>
            </w:r>
          </w:p>
        </w:tc>
        <w:tc>
          <w:tcPr>
            <w:tcW w:w="6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审核情况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(由双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拥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部门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填写并盖章)</w:t>
            </w:r>
          </w:p>
        </w:tc>
        <w:tc>
          <w:tcPr>
            <w:tcW w:w="6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9771A"/>
    <w:rsid w:val="5E2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2021-06-05T05:11:00Z</dcterms:created>
  <dc:creator>miss秋秋</dc:creator>
  <cp:lastModifiedBy>miss秋秋</cp:lastModifiedBy>
  <dcterms:modified xsi:type="dcterms:W3CDTF">2021-06-05T05:11:28Z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