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附件7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云南省残疾等级评定结果告知书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30"/>
          <w:szCs w:val="30"/>
        </w:rPr>
      </w:pP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同志（单位）：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按照《军人抚恤优待条例》《军人残疾等级评定标准》等政策文件，经审查和医疗卫生专家小组鉴定，你的残疾等级评定结果如下：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因没有因战因公受伤致残的档案记载或者原始医疗证明，不予评定残疾等级；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因残疾情况达不到《军人残疾等级评定标准》，不予评定残疾等级；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因                      ，不予评定残疾等级；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残疾情况与原定残疾等级相符，不予调整残疾等级；</w:t>
      </w:r>
    </w:p>
    <w:p>
      <w:pPr>
        <w:adjustRightInd w:val="0"/>
        <w:snapToGrid w:val="0"/>
        <w:spacing w:line="600" w:lineRule="exact"/>
        <w:ind w:firstLine="600" w:firstLineChars="200"/>
        <w:jc w:val="distribute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残疾情况发生明显变化，符合《军人残疾等级评定标准第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条  第   项，将残疾等级调整为    级；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残疾情况明显减轻或消失，已经达不到最低等级评定标准，取消原定的残疾等级。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特此告知。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如你对医疗卫生专家小组作出的残疾等级医学鉴定意见有异议，可以在收到《残疾等级评定结果告知书》或伤残证后60日内逐级向省退役军人厅提出再次鉴定申请，再次鉴定所涉及费用由个人负担。如今后原评残部位残疾情况发生变化，可提交近6个月内二级甲等以上医院的就诊病历、检查报告、诊断结论等，向户籍地县级退役军人事务部门重新申请评定残疾等级。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pStyle w:val="2"/>
        <w:spacing w:line="60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adjustRightInd w:val="0"/>
        <w:snapToGrid w:val="0"/>
        <w:spacing w:line="600" w:lineRule="exact"/>
        <w:ind w:right="840" w:rightChars="4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adjustRightInd w:val="0"/>
        <w:snapToGrid w:val="0"/>
        <w:spacing w:line="600" w:lineRule="exact"/>
        <w:ind w:right="840" w:rightChars="400" w:firstLine="2850" w:firstLineChars="95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退役军人事务局（章）</w:t>
      </w:r>
    </w:p>
    <w:p>
      <w:pPr>
        <w:jc w:val="right"/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15572875"/>
    <w:rsid w:val="19347B55"/>
    <w:rsid w:val="49A70B38"/>
    <w:rsid w:val="4E101D1C"/>
    <w:rsid w:val="53013FA9"/>
    <w:rsid w:val="6D0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D97584BA90FD438CAA341D5AB7CF68FE</vt:lpwstr>
  </property>
</Properties>
</file>