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80" w:lineRule="exact"/>
        <w:jc w:val="left"/>
        <w:textAlignment w:val="baseline"/>
        <w:rPr>
          <w:rFonts w:hint="eastAsia" w:ascii="宋体" w:hAnsi="宋体" w:eastAsia="宋体" w:cs="宋体"/>
          <w:color w:val="auto"/>
          <w:kern w:val="0"/>
          <w:sz w:val="32"/>
          <w:szCs w:val="32"/>
          <w:lang w:val="en-US" w:eastAsia="zh-CN"/>
        </w:rPr>
      </w:pPr>
      <w:r>
        <w:rPr>
          <w:rFonts w:hint="eastAsia" w:ascii="黑体" w:hAnsi="黑体" w:eastAsia="黑体" w:cs="宋体"/>
          <w:color w:val="auto"/>
          <w:kern w:val="0"/>
          <w:sz w:val="32"/>
          <w:szCs w:val="32"/>
          <w:u w:val="none"/>
          <w:lang w:val="en-US" w:eastAsia="zh-CN"/>
        </w:rPr>
        <w:t xml:space="preserve">附件1 </w:t>
      </w:r>
    </w:p>
    <w:p>
      <w:pPr>
        <w:keepNext w:val="0"/>
        <w:keepLines w:val="0"/>
        <w:pageBreakBefore w:val="0"/>
        <w:widowControl/>
        <w:kinsoku/>
        <w:overflowPunct/>
        <w:topLinePunct w:val="0"/>
        <w:autoSpaceDE/>
        <w:autoSpaceDN/>
        <w:bidi w:val="0"/>
        <w:adjustRightInd/>
        <w:spacing w:line="560" w:lineRule="exact"/>
        <w:jc w:val="center"/>
        <w:rPr>
          <w:rFonts w:hint="eastAsia" w:ascii="方正小标宋_GBK" w:hAnsi="方正小标宋_GBK" w:eastAsia="方正小标宋_GBK" w:cs="方正小标宋_GBK"/>
          <w:color w:val="auto"/>
          <w:kern w:val="0"/>
          <w:sz w:val="40"/>
          <w:szCs w:val="40"/>
        </w:rPr>
      </w:pPr>
      <w:r>
        <w:rPr>
          <w:rFonts w:hint="eastAsia" w:ascii="方正小标宋_GBK" w:hAnsi="方正小标宋_GBK" w:eastAsia="方正小标宋_GBK" w:cs="方正小标宋_GBK"/>
          <w:color w:val="auto"/>
          <w:kern w:val="0"/>
          <w:sz w:val="40"/>
          <w:szCs w:val="40"/>
          <w:lang w:eastAsia="zh-CN"/>
        </w:rPr>
        <w:t>云南</w:t>
      </w:r>
      <w:r>
        <w:rPr>
          <w:rFonts w:hint="eastAsia" w:ascii="方正小标宋_GBK" w:hAnsi="方正小标宋_GBK" w:eastAsia="方正小标宋_GBK" w:cs="方正小标宋_GBK"/>
          <w:color w:val="auto"/>
          <w:kern w:val="0"/>
          <w:sz w:val="40"/>
          <w:szCs w:val="40"/>
        </w:rPr>
        <w:t>省退役军人就业创业园地申报表</w:t>
      </w:r>
    </w:p>
    <w:tbl>
      <w:tblPr>
        <w:tblStyle w:val="4"/>
        <w:tblW w:w="88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2713"/>
        <w:gridCol w:w="1139"/>
        <w:gridCol w:w="93"/>
        <w:gridCol w:w="511"/>
        <w:gridCol w:w="2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园地名称</w:t>
            </w:r>
          </w:p>
        </w:tc>
        <w:tc>
          <w:tcPr>
            <w:tcW w:w="2713" w:type="dxa"/>
            <w:tcBorders>
              <w:righ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c>
          <w:tcPr>
            <w:tcW w:w="1743" w:type="dxa"/>
            <w:gridSpan w:val="3"/>
            <w:tcBorders>
              <w:left w:val="nil"/>
              <w:righ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c>
          <w:tcPr>
            <w:tcW w:w="2560" w:type="dxa"/>
            <w:tcBorders>
              <w:lef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jc w:val="center"/>
        </w:trPr>
        <w:tc>
          <w:tcPr>
            <w:tcW w:w="1879" w:type="dxa"/>
            <w:tcBorders>
              <w:bottom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园地地址</w:t>
            </w:r>
          </w:p>
        </w:tc>
        <w:tc>
          <w:tcPr>
            <w:tcW w:w="2713" w:type="dxa"/>
            <w:tcBorders>
              <w:bottom w:val="single" w:color="auto" w:sz="4" w:space="0"/>
              <w:righ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c>
          <w:tcPr>
            <w:tcW w:w="1743" w:type="dxa"/>
            <w:gridSpan w:val="3"/>
            <w:tcBorders>
              <w:left w:val="nil"/>
              <w:bottom w:val="single" w:color="auto" w:sz="4" w:space="0"/>
              <w:righ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c>
          <w:tcPr>
            <w:tcW w:w="2560" w:type="dxa"/>
            <w:tcBorders>
              <w:left w:val="nil"/>
              <w:bottom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879" w:type="dxa"/>
            <w:tcBorders>
              <w:top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邮政编码</w:t>
            </w:r>
          </w:p>
        </w:tc>
        <w:tc>
          <w:tcPr>
            <w:tcW w:w="2713" w:type="dxa"/>
            <w:tcBorders>
              <w:top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黑体" w:hAnsi="黑体" w:eastAsia="黑体" w:cs="黑体"/>
                <w:color w:val="auto"/>
                <w:sz w:val="24"/>
              </w:rPr>
            </w:pPr>
          </w:p>
        </w:tc>
        <w:tc>
          <w:tcPr>
            <w:tcW w:w="1743"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对外公开电话</w:t>
            </w:r>
          </w:p>
        </w:tc>
        <w:tc>
          <w:tcPr>
            <w:tcW w:w="2560" w:type="dxa"/>
            <w:tcBorders>
              <w:top w:val="single" w:color="auto" w:sz="4" w:space="0"/>
              <w:lef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黑体" w:hAnsi="黑体" w:eastAsia="黑体" w:cs="黑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园地启用时间</w:t>
            </w:r>
          </w:p>
        </w:tc>
        <w:tc>
          <w:tcPr>
            <w:tcW w:w="2713" w:type="dxa"/>
            <w:tcBorders>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firstLine="840" w:firstLineChars="350"/>
              <w:textAlignment w:val="auto"/>
              <w:rPr>
                <w:rFonts w:hint="eastAsia" w:ascii="黑体" w:hAnsi="黑体" w:eastAsia="黑体" w:cs="黑体"/>
                <w:color w:val="auto"/>
                <w:sz w:val="24"/>
              </w:rPr>
            </w:pPr>
            <w:r>
              <w:rPr>
                <w:rFonts w:hint="eastAsia" w:ascii="黑体" w:hAnsi="黑体" w:eastAsia="黑体" w:cs="黑体"/>
                <w:color w:val="auto"/>
                <w:sz w:val="24"/>
              </w:rPr>
              <w:t>年   月   日</w:t>
            </w:r>
          </w:p>
        </w:tc>
        <w:tc>
          <w:tcPr>
            <w:tcW w:w="1743" w:type="dxa"/>
            <w:gridSpan w:val="3"/>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认定为市级</w:t>
            </w:r>
          </w:p>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园地时间</w:t>
            </w:r>
          </w:p>
        </w:tc>
        <w:tc>
          <w:tcPr>
            <w:tcW w:w="2560" w:type="dxa"/>
            <w:tcBorders>
              <w:left w:val="single" w:color="auto" w:sz="4" w:space="0"/>
            </w:tcBorders>
            <w:noWrap w:val="0"/>
            <w:vAlign w:val="center"/>
          </w:tcPr>
          <w:p>
            <w:pPr>
              <w:keepNext w:val="0"/>
              <w:keepLines w:val="0"/>
              <w:pageBreakBefore w:val="0"/>
              <w:kinsoku/>
              <w:wordWrap w:val="0"/>
              <w:overflowPunct/>
              <w:topLinePunct w:val="0"/>
              <w:autoSpaceDE/>
              <w:autoSpaceDN/>
              <w:bidi w:val="0"/>
              <w:adjustRightInd/>
              <w:spacing w:line="560" w:lineRule="exact"/>
              <w:jc w:val="right"/>
              <w:textAlignment w:val="auto"/>
              <w:rPr>
                <w:rFonts w:hint="eastAsia" w:ascii="黑体" w:hAnsi="黑体" w:eastAsia="黑体" w:cs="黑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园地占地面积</w:t>
            </w:r>
          </w:p>
        </w:tc>
        <w:tc>
          <w:tcPr>
            <w:tcW w:w="2713" w:type="dxa"/>
            <w:tcBorders>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黑体" w:hAnsi="黑体" w:eastAsia="黑体" w:cs="黑体"/>
                <w:color w:val="auto"/>
                <w:sz w:val="24"/>
              </w:rPr>
            </w:pPr>
            <w:r>
              <w:rPr>
                <w:rFonts w:hint="eastAsia" w:ascii="黑体" w:hAnsi="黑体" w:eastAsia="黑体" w:cs="黑体"/>
                <w:color w:val="auto"/>
                <w:sz w:val="24"/>
              </w:rPr>
              <w:t>平方米</w:t>
            </w:r>
          </w:p>
        </w:tc>
        <w:tc>
          <w:tcPr>
            <w:tcW w:w="1743" w:type="dxa"/>
            <w:gridSpan w:val="3"/>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园地建筑面积</w:t>
            </w:r>
          </w:p>
        </w:tc>
        <w:tc>
          <w:tcPr>
            <w:tcW w:w="2560" w:type="dxa"/>
            <w:tcBorders>
              <w:lef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黑体" w:hAnsi="黑体" w:eastAsia="黑体" w:cs="黑体"/>
                <w:color w:val="auto"/>
                <w:sz w:val="24"/>
              </w:rPr>
            </w:pPr>
            <w:r>
              <w:rPr>
                <w:rFonts w:hint="eastAsia" w:ascii="黑体" w:hAnsi="黑体" w:eastAsia="黑体" w:cs="黑体"/>
                <w:color w:val="auto"/>
                <w:sz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培训场所面积</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黑体" w:hAnsi="黑体" w:eastAsia="黑体" w:cs="黑体"/>
                <w:color w:val="auto"/>
                <w:sz w:val="24"/>
              </w:rPr>
            </w:pPr>
            <w:r>
              <w:rPr>
                <w:rFonts w:hint="eastAsia" w:ascii="黑体" w:hAnsi="黑体" w:eastAsia="黑体" w:cs="黑体"/>
                <w:color w:val="auto"/>
                <w:sz w:val="24"/>
              </w:rPr>
              <w:t>平方米</w:t>
            </w:r>
          </w:p>
        </w:tc>
        <w:tc>
          <w:tcPr>
            <w:tcW w:w="1743" w:type="dxa"/>
            <w:gridSpan w:val="3"/>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就业场所面积</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黑体" w:hAnsi="黑体" w:eastAsia="黑体" w:cs="黑体"/>
                <w:color w:val="auto"/>
                <w:sz w:val="24"/>
              </w:rPr>
            </w:pPr>
            <w:r>
              <w:rPr>
                <w:rFonts w:hint="eastAsia" w:ascii="黑体" w:hAnsi="黑体" w:eastAsia="黑体" w:cs="黑体"/>
                <w:color w:val="auto"/>
                <w:sz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孵化场所面积</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黑体" w:hAnsi="黑体" w:eastAsia="黑体" w:cs="黑体"/>
                <w:color w:val="auto"/>
                <w:sz w:val="24"/>
              </w:rPr>
            </w:pPr>
            <w:r>
              <w:rPr>
                <w:rFonts w:hint="eastAsia" w:ascii="黑体" w:hAnsi="黑体" w:eastAsia="黑体" w:cs="黑体"/>
                <w:color w:val="auto"/>
                <w:sz w:val="24"/>
              </w:rPr>
              <w:t>平方米</w:t>
            </w:r>
          </w:p>
        </w:tc>
        <w:tc>
          <w:tcPr>
            <w:tcW w:w="1743" w:type="dxa"/>
            <w:gridSpan w:val="3"/>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园地资产总值</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黑体" w:hAnsi="黑体" w:eastAsia="黑体" w:cs="黑体"/>
                <w:color w:val="auto"/>
                <w:sz w:val="24"/>
              </w:rPr>
            </w:pPr>
            <w:r>
              <w:rPr>
                <w:rFonts w:hint="eastAsia" w:ascii="黑体" w:hAnsi="黑体" w:eastAsia="黑体" w:cs="黑体"/>
                <w:color w:val="auto"/>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园地资产性质</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国有/集体/私有/混合</w:t>
            </w:r>
          </w:p>
        </w:tc>
        <w:tc>
          <w:tcPr>
            <w:tcW w:w="1743" w:type="dxa"/>
            <w:gridSpan w:val="3"/>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园地资产权属</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（具体单位）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园地机构性质</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事业/企业/非企业法人</w:t>
            </w:r>
          </w:p>
        </w:tc>
        <w:tc>
          <w:tcPr>
            <w:tcW w:w="1743" w:type="dxa"/>
            <w:gridSpan w:val="3"/>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园地统一社会信用代码</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园地负责人</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c>
          <w:tcPr>
            <w:tcW w:w="1743" w:type="dxa"/>
            <w:gridSpan w:val="3"/>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联系电话</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园地运营方式</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自营/委托/合作</w:t>
            </w:r>
          </w:p>
        </w:tc>
        <w:tc>
          <w:tcPr>
            <w:tcW w:w="1743" w:type="dxa"/>
            <w:gridSpan w:val="3"/>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园地运营机构</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（具体单位）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运营负责人</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color w:val="auto"/>
                <w:sz w:val="24"/>
              </w:rPr>
            </w:pPr>
          </w:p>
        </w:tc>
        <w:tc>
          <w:tcPr>
            <w:tcW w:w="1743" w:type="dxa"/>
            <w:gridSpan w:val="3"/>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联系电话</w:t>
            </w:r>
          </w:p>
        </w:tc>
        <w:tc>
          <w:tcPr>
            <w:tcW w:w="2560" w:type="dxa"/>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黑体" w:hAnsi="黑体" w:eastAsia="黑体" w:cs="黑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具备资质情况</w:t>
            </w:r>
          </w:p>
        </w:tc>
        <w:tc>
          <w:tcPr>
            <w:tcW w:w="7016" w:type="dxa"/>
            <w:gridSpan w:val="5"/>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黑体" w:hAnsi="黑体" w:eastAsia="黑体" w:cs="黑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eastAsia" w:ascii="黑体" w:hAnsi="黑体" w:eastAsia="黑体" w:cs="黑体"/>
                <w:color w:val="auto"/>
                <w:sz w:val="24"/>
              </w:rPr>
            </w:pPr>
            <w:r>
              <w:rPr>
                <w:rFonts w:hint="eastAsia" w:ascii="黑体" w:hAnsi="黑体" w:eastAsia="黑体" w:cs="黑体"/>
                <w:color w:val="auto"/>
                <w:sz w:val="24"/>
              </w:rPr>
              <w:t>对退役军人特殊优惠情况</w:t>
            </w:r>
          </w:p>
        </w:tc>
        <w:tc>
          <w:tcPr>
            <w:tcW w:w="7016" w:type="dxa"/>
            <w:gridSpan w:val="5"/>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黑体" w:hAnsi="黑体" w:eastAsia="黑体" w:cs="黑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879" w:type="dxa"/>
            <w:vMerge w:val="restart"/>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lang w:eastAsia="zh-CN"/>
              </w:rPr>
            </w:pPr>
            <w:r>
              <w:rPr>
                <w:rFonts w:hint="eastAsia" w:ascii="黑体" w:hAnsi="黑体" w:eastAsia="黑体" w:cs="黑体"/>
                <w:color w:val="auto"/>
                <w:sz w:val="26"/>
                <w:szCs w:val="26"/>
                <w:lang w:eastAsia="zh-CN"/>
              </w:rPr>
              <w:t>教育培训绩效情况</w:t>
            </w: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b w:val="0"/>
                <w:bCs/>
                <w:color w:val="auto"/>
                <w:sz w:val="24"/>
              </w:rPr>
            </w:pPr>
            <w:r>
              <w:rPr>
                <w:rFonts w:hint="eastAsia" w:ascii="黑体" w:hAnsi="黑体" w:eastAsia="黑体" w:cs="黑体"/>
                <w:b w:val="0"/>
                <w:bCs/>
                <w:color w:val="auto"/>
                <w:kern w:val="0"/>
                <w:sz w:val="24"/>
              </w:rPr>
              <w:t>指标内容</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绩  效</w:t>
            </w:r>
          </w:p>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（20</w:t>
            </w:r>
            <w:r>
              <w:rPr>
                <w:rFonts w:hint="eastAsia" w:ascii="黑体" w:hAnsi="黑体" w:eastAsia="黑体" w:cs="黑体"/>
                <w:b w:val="0"/>
                <w:bCs/>
                <w:color w:val="auto"/>
                <w:kern w:val="0"/>
                <w:sz w:val="24"/>
                <w:lang w:val="en-US" w:eastAsia="zh-CN"/>
              </w:rPr>
              <w:t>20</w:t>
            </w:r>
            <w:r>
              <w:rPr>
                <w:rFonts w:hint="eastAsia" w:ascii="黑体" w:hAnsi="黑体" w:eastAsia="黑体" w:cs="黑体"/>
                <w:b w:val="0"/>
                <w:bCs/>
                <w:color w:val="auto"/>
                <w:kern w:val="0"/>
                <w:sz w:val="24"/>
              </w:rPr>
              <w:t>年</w:t>
            </w:r>
            <w:r>
              <w:rPr>
                <w:rFonts w:hint="eastAsia" w:ascii="黑体" w:hAnsi="黑体" w:eastAsia="黑体" w:cs="黑体"/>
                <w:b w:val="0"/>
                <w:bCs/>
                <w:color w:val="auto"/>
                <w:kern w:val="0"/>
                <w:sz w:val="24"/>
                <w:lang w:val="en-US" w:eastAsia="zh-CN"/>
              </w:rPr>
              <w:t>1</w:t>
            </w:r>
            <w:r>
              <w:rPr>
                <w:rFonts w:hint="eastAsia" w:ascii="黑体" w:hAnsi="黑体" w:eastAsia="黑体" w:cs="黑体"/>
                <w:b w:val="0"/>
                <w:bCs/>
                <w:color w:val="auto"/>
                <w:kern w:val="0"/>
                <w:sz w:val="24"/>
              </w:rPr>
              <w:t>月-202</w:t>
            </w:r>
            <w:r>
              <w:rPr>
                <w:rFonts w:hint="eastAsia" w:ascii="黑体" w:hAnsi="黑体" w:eastAsia="黑体" w:cs="黑体"/>
                <w:b w:val="0"/>
                <w:bCs/>
                <w:color w:val="auto"/>
                <w:kern w:val="0"/>
                <w:sz w:val="24"/>
                <w:lang w:val="en-US" w:eastAsia="zh-CN"/>
              </w:rPr>
              <w:t>3</w:t>
            </w:r>
            <w:r>
              <w:rPr>
                <w:rFonts w:hint="eastAsia" w:ascii="黑体" w:hAnsi="黑体" w:eastAsia="黑体" w:cs="黑体"/>
                <w:b w:val="0"/>
                <w:bCs/>
                <w:color w:val="auto"/>
                <w:kern w:val="0"/>
                <w:sz w:val="24"/>
              </w:rPr>
              <w:t>年</w:t>
            </w:r>
            <w:r>
              <w:rPr>
                <w:rFonts w:hint="eastAsia" w:ascii="黑体" w:hAnsi="黑体" w:eastAsia="黑体" w:cs="黑体"/>
                <w:b w:val="0"/>
                <w:bCs/>
                <w:color w:val="auto"/>
                <w:kern w:val="0"/>
                <w:sz w:val="24"/>
                <w:lang w:val="en-US" w:eastAsia="zh-CN"/>
              </w:rPr>
              <w:t>9</w:t>
            </w:r>
            <w:r>
              <w:rPr>
                <w:rFonts w:hint="eastAsia" w:ascii="黑体" w:hAnsi="黑体" w:eastAsia="黑体" w:cs="黑体"/>
                <w:b w:val="0"/>
                <w:bCs/>
                <w:color w:val="auto"/>
                <w:kern w:val="0"/>
                <w:sz w:val="24"/>
              </w:rPr>
              <w:t>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已实际开展过退役军人相关教育培训任务的承训人数（人次/年）</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面向企业、学校和社会开展职业教育或技能培训的总人数</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可提供教育培训类别数（学历培训、技能培训）（个）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可承训的专业数量（个）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具备线上培训平台或网络远程教育（是/否）</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有合作关系的培训机构数（个）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师生比</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高级职称教师比例（%）</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具有行业一线工作经历8年以上的教师比例（%）</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退役军人培训班次（个）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退役军人参加的课程数量（个）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职业技能证书取证率（%）</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培训结束后获得结业证书的比例（%）</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22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学员培训后就业率（%）</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就业与培训专业相关率（%）</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培训后平均起薪水平（元/月）</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培训学员满意度（%）</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1312" w:hRule="atLeast"/>
          <w:jc w:val="center"/>
        </w:trPr>
        <w:tc>
          <w:tcPr>
            <w:tcW w:w="1879" w:type="dxa"/>
            <w:vMerge w:val="restart"/>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lang w:eastAsia="zh-CN"/>
              </w:rPr>
            </w:pPr>
            <w:r>
              <w:rPr>
                <w:rFonts w:hint="eastAsia" w:ascii="黑体" w:hAnsi="黑体" w:eastAsia="黑体" w:cs="黑体"/>
                <w:color w:val="auto"/>
                <w:sz w:val="26"/>
                <w:szCs w:val="26"/>
                <w:lang w:eastAsia="zh-CN"/>
              </w:rPr>
              <w:t>就业绩效情况</w:t>
            </w: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b w:val="0"/>
                <w:bCs/>
                <w:color w:val="auto"/>
                <w:sz w:val="24"/>
              </w:rPr>
            </w:pPr>
            <w:r>
              <w:rPr>
                <w:rFonts w:hint="eastAsia" w:ascii="黑体" w:hAnsi="黑体" w:eastAsia="黑体" w:cs="黑体"/>
                <w:b w:val="0"/>
                <w:bCs/>
                <w:color w:val="auto"/>
                <w:kern w:val="0"/>
                <w:sz w:val="24"/>
              </w:rPr>
              <w:t>指标内容</w:t>
            </w:r>
          </w:p>
        </w:tc>
        <w:tc>
          <w:tcPr>
            <w:tcW w:w="3164" w:type="dxa"/>
            <w:gridSpan w:val="3"/>
            <w:tcBorders>
              <w:top w:val="nil"/>
              <w:left w:val="nil"/>
              <w:right w:val="single" w:color="000000" w:sz="4" w:space="0"/>
            </w:tcBorders>
            <w:noWrap w:val="0"/>
            <w:vAlign w:val="center"/>
          </w:tcPr>
          <w:tbl>
            <w:tblPr>
              <w:tblStyle w:val="4"/>
              <w:tblW w:w="3164" w:type="dxa"/>
              <w:jc w:val="center"/>
              <w:tblInd w:w="0" w:type="dxa"/>
              <w:tblBorders>
                <w:top w:val="single" w:color="000000" w:sz="6" w:space="0"/>
                <w:left w:val="single" w:color="000000" w:sz="6" w:space="0"/>
                <w:bottom w:val="single" w:color="000000" w:sz="4" w:space="0"/>
                <w:right w:val="single" w:color="000000" w:sz="6" w:space="0"/>
                <w:insideH w:val="none" w:color="auto" w:sz="0" w:space="0"/>
                <w:insideV w:val="single" w:color="000000" w:sz="4" w:space="0"/>
              </w:tblBorders>
              <w:tblLayout w:type="fixed"/>
              <w:tblCellMar>
                <w:top w:w="0" w:type="dxa"/>
                <w:left w:w="108" w:type="dxa"/>
                <w:bottom w:w="0" w:type="dxa"/>
                <w:right w:w="108" w:type="dxa"/>
              </w:tblCellMar>
            </w:tblPr>
            <w:tblGrid>
              <w:gridCol w:w="3164"/>
            </w:tblGrid>
            <w:tr>
              <w:tblPrEx>
                <w:tblBorders>
                  <w:top w:val="single" w:color="000000" w:sz="6" w:space="0"/>
                  <w:left w:val="single" w:color="000000" w:sz="6" w:space="0"/>
                  <w:bottom w:val="single" w:color="000000" w:sz="4" w:space="0"/>
                  <w:right w:val="single" w:color="000000" w:sz="6" w:space="0"/>
                  <w:insideH w:val="none" w:color="auto" w:sz="0"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3164" w:type="dxa"/>
                  <w:tcBorders>
                    <w:top w:val="nil"/>
                    <w:left w:val="nil"/>
                    <w:bottom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绩  效</w:t>
                  </w:r>
                </w:p>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（20</w:t>
                  </w:r>
                  <w:r>
                    <w:rPr>
                      <w:rFonts w:hint="eastAsia" w:ascii="黑体" w:hAnsi="黑体" w:eastAsia="黑体" w:cs="黑体"/>
                      <w:b w:val="0"/>
                      <w:bCs/>
                      <w:color w:val="auto"/>
                      <w:kern w:val="0"/>
                      <w:sz w:val="24"/>
                      <w:lang w:val="en-US" w:eastAsia="zh-CN"/>
                    </w:rPr>
                    <w:t>20</w:t>
                  </w:r>
                  <w:r>
                    <w:rPr>
                      <w:rFonts w:hint="eastAsia" w:ascii="黑体" w:hAnsi="黑体" w:eastAsia="黑体" w:cs="黑体"/>
                      <w:b w:val="0"/>
                      <w:bCs/>
                      <w:color w:val="auto"/>
                      <w:kern w:val="0"/>
                      <w:sz w:val="24"/>
                    </w:rPr>
                    <w:t>年</w:t>
                  </w:r>
                  <w:r>
                    <w:rPr>
                      <w:rFonts w:hint="eastAsia" w:ascii="黑体" w:hAnsi="黑体" w:eastAsia="黑体" w:cs="黑体"/>
                      <w:b w:val="0"/>
                      <w:bCs/>
                      <w:color w:val="auto"/>
                      <w:kern w:val="0"/>
                      <w:sz w:val="24"/>
                      <w:lang w:val="en-US" w:eastAsia="zh-CN"/>
                    </w:rPr>
                    <w:t>1</w:t>
                  </w:r>
                  <w:r>
                    <w:rPr>
                      <w:rFonts w:hint="eastAsia" w:ascii="黑体" w:hAnsi="黑体" w:eastAsia="黑体" w:cs="黑体"/>
                      <w:b w:val="0"/>
                      <w:bCs/>
                      <w:color w:val="auto"/>
                      <w:kern w:val="0"/>
                      <w:sz w:val="24"/>
                    </w:rPr>
                    <w:t>月-202</w:t>
                  </w:r>
                  <w:r>
                    <w:rPr>
                      <w:rFonts w:hint="eastAsia" w:ascii="黑体" w:hAnsi="黑体" w:eastAsia="黑体" w:cs="黑体"/>
                      <w:b w:val="0"/>
                      <w:bCs/>
                      <w:color w:val="auto"/>
                      <w:kern w:val="0"/>
                      <w:sz w:val="24"/>
                      <w:lang w:val="en-US" w:eastAsia="zh-CN"/>
                    </w:rPr>
                    <w:t>3</w:t>
                  </w:r>
                  <w:r>
                    <w:rPr>
                      <w:rFonts w:hint="eastAsia" w:ascii="黑体" w:hAnsi="黑体" w:eastAsia="黑体" w:cs="黑体"/>
                      <w:b w:val="0"/>
                      <w:bCs/>
                      <w:color w:val="auto"/>
                      <w:kern w:val="0"/>
                      <w:sz w:val="24"/>
                    </w:rPr>
                    <w:t>年</w:t>
                  </w:r>
                  <w:r>
                    <w:rPr>
                      <w:rFonts w:hint="eastAsia" w:ascii="黑体" w:hAnsi="黑体" w:eastAsia="黑体" w:cs="黑体"/>
                      <w:b w:val="0"/>
                      <w:bCs/>
                      <w:color w:val="auto"/>
                      <w:kern w:val="0"/>
                      <w:sz w:val="24"/>
                      <w:lang w:val="en-US" w:eastAsia="zh-CN"/>
                    </w:rPr>
                    <w:t>9</w:t>
                  </w:r>
                  <w:r>
                    <w:rPr>
                      <w:rFonts w:hint="eastAsia" w:ascii="黑体" w:hAnsi="黑体" w:eastAsia="黑体" w:cs="黑体"/>
                      <w:b w:val="0"/>
                      <w:bCs/>
                      <w:color w:val="auto"/>
                      <w:kern w:val="0"/>
                      <w:sz w:val="24"/>
                    </w:rPr>
                    <w:t>月）</w:t>
                  </w:r>
                </w:p>
              </w:tc>
            </w:tr>
          </w:tbl>
          <w:p>
            <w:pPr>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b w:val="0"/>
                <w:bCs/>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开展退役军人就业相关工作服务年限（包括2018年前）</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机构与接收退役军人就业的央企或大型国有企业建立战略合作伙伴关系数（个）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机构与国家级行业协会建立长期合作关系数（个）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线上招聘平台</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线上招聘平台发布职位数（个）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招聘服务合作企业数（个）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提供就业岗位数量（个）</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组织或参加招聘会数量（含地方和进军营）（次）</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服务退役军人就业人数（人次/年）</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经退役军人事务主管部门指定的第三方机构评估，退役军人就业满意度（%）</w:t>
            </w:r>
          </w:p>
        </w:tc>
        <w:tc>
          <w:tcPr>
            <w:tcW w:w="3164" w:type="dxa"/>
            <w:gridSpan w:val="3"/>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服务区域范围（个/省市）</w:t>
            </w:r>
          </w:p>
        </w:tc>
        <w:tc>
          <w:tcPr>
            <w:tcW w:w="316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职业测评/就业指导人数（人）</w:t>
            </w:r>
          </w:p>
        </w:tc>
        <w:tc>
          <w:tcPr>
            <w:tcW w:w="316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见习基地个数（个）</w:t>
            </w:r>
          </w:p>
        </w:tc>
        <w:tc>
          <w:tcPr>
            <w:tcW w:w="316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见习人数（人次）</w:t>
            </w:r>
          </w:p>
        </w:tc>
        <w:tc>
          <w:tcPr>
            <w:tcW w:w="316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已运营年限（包括2018年前）</w:t>
            </w:r>
          </w:p>
        </w:tc>
        <w:tc>
          <w:tcPr>
            <w:tcW w:w="3071" w:type="dxa"/>
            <w:gridSpan w:val="2"/>
            <w:tcBorders>
              <w:top w:val="single" w:color="auto" w:sz="4" w:space="0"/>
            </w:tcBorders>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功能区设置（是否有会议室、路演中心及其他功能区域）</w:t>
            </w:r>
          </w:p>
        </w:tc>
        <w:tc>
          <w:tcPr>
            <w:tcW w:w="3071"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具有创业苗圃（是/否）</w:t>
            </w:r>
          </w:p>
        </w:tc>
        <w:tc>
          <w:tcPr>
            <w:tcW w:w="3071"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载体平台</w:t>
            </w:r>
          </w:p>
        </w:tc>
        <w:tc>
          <w:tcPr>
            <w:tcW w:w="3071"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服务平台（服务维度全面性，是否有工商税服务、法律服务、创业培训服务、融资服务以及其他服务）</w:t>
            </w:r>
          </w:p>
        </w:tc>
        <w:tc>
          <w:tcPr>
            <w:tcW w:w="3071"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金融平台（是否有对接金融服务的银行机构、是否有政府资金类政策对接等功能）</w:t>
            </w:r>
          </w:p>
        </w:tc>
        <w:tc>
          <w:tcPr>
            <w:tcW w:w="3071"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创业导师人数</w:t>
            </w:r>
          </w:p>
        </w:tc>
        <w:tc>
          <w:tcPr>
            <w:tcW w:w="3071"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孵化载体是否具备自有孵化基金</w:t>
            </w:r>
          </w:p>
        </w:tc>
        <w:tc>
          <w:tcPr>
            <w:tcW w:w="3071"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期末在孵实体数（户）</w:t>
            </w:r>
          </w:p>
        </w:tc>
        <w:tc>
          <w:tcPr>
            <w:tcW w:w="3071"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期末在孵实体提供就业岗位数（个）</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期末在孵退役军人创业实体数（户）</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期末在孵退役军人创业实体提供就业岗位数（个）</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期末孵化场所利用率（%）</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当期入孵实体孵化成功率（%）</w:t>
            </w:r>
          </w:p>
        </w:tc>
        <w:tc>
          <w:tcPr>
            <w:tcW w:w="3071" w:type="dxa"/>
            <w:gridSpan w:val="2"/>
            <w:noWrap w:val="0"/>
            <w:vAlign w:val="center"/>
          </w:tcPr>
          <w:p>
            <w:pPr>
              <w:keepNext w:val="0"/>
              <w:keepLines w:val="0"/>
              <w:pageBreakBefore w:val="0"/>
              <w:kinsoku/>
              <w:overflowPunct/>
              <w:topLinePunct w:val="0"/>
              <w:autoSpaceDE/>
              <w:autoSpaceDN/>
              <w:bidi w:val="0"/>
              <w:adjustRightInd/>
              <w:spacing w:line="560" w:lineRule="exact"/>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当期入孵实体到期出园率（%）</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组织开展创业服务活动数量</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入孵实体获得区、市、国家荣誉数</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在园退役军人创业实体满意率（%）</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rPr>
            </w:pPr>
          </w:p>
        </w:tc>
        <w:tc>
          <w:tcPr>
            <w:tcW w:w="3945"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出园退役军人创业实体满意率（%）</w:t>
            </w:r>
          </w:p>
        </w:tc>
        <w:tc>
          <w:tcPr>
            <w:tcW w:w="3071"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eastAsia" w:ascii="方正仿宋_GBK" w:hAnsi="方正仿宋_GBK" w:eastAsia="方正仿宋_GBK" w:cs="方正仿宋_GBK"/>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930" w:hRule="atLeast"/>
          <w:jc w:val="center"/>
        </w:trPr>
        <w:tc>
          <w:tcPr>
            <w:tcW w:w="1879" w:type="dxa"/>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6"/>
                <w:szCs w:val="26"/>
                <w:lang w:eastAsia="zh-CN"/>
              </w:rPr>
            </w:pPr>
            <w:r>
              <w:rPr>
                <w:rFonts w:hint="eastAsia" w:ascii="黑体" w:hAnsi="黑体" w:eastAsia="黑体" w:cs="黑体"/>
                <w:b w:val="0"/>
                <w:bCs w:val="0"/>
                <w:color w:val="auto"/>
                <w:sz w:val="24"/>
                <w:lang w:eastAsia="zh-CN"/>
              </w:rPr>
              <w:t>参评机构承诺</w:t>
            </w:r>
          </w:p>
        </w:tc>
        <w:tc>
          <w:tcPr>
            <w:tcW w:w="7016" w:type="dxa"/>
            <w:gridSpan w:val="5"/>
            <w:noWrap w:val="0"/>
            <w:vAlign w:val="center"/>
          </w:tcPr>
          <w:p>
            <w:pPr>
              <w:keepNext w:val="0"/>
              <w:keepLines w:val="0"/>
              <w:pageBreakBefore w:val="0"/>
              <w:kinsoku/>
              <w:overflowPunct/>
              <w:topLinePunct w:val="0"/>
              <w:autoSpaceDE/>
              <w:autoSpaceDN/>
              <w:bidi w:val="0"/>
              <w:adjustRightInd/>
              <w:spacing w:line="56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自愿</w:t>
            </w:r>
            <w:r>
              <w:rPr>
                <w:rFonts w:hint="default" w:ascii="方正仿宋_GBK" w:hAnsi="方正仿宋_GBK" w:eastAsia="方正仿宋_GBK" w:cs="方正仿宋_GBK"/>
                <w:color w:val="auto"/>
                <w:sz w:val="24"/>
                <w:lang w:val="en-US" w:eastAsia="zh-CN"/>
              </w:rPr>
              <w:t>申请</w:t>
            </w:r>
            <w:r>
              <w:rPr>
                <w:rFonts w:hint="eastAsia" w:ascii="方正仿宋_GBK" w:hAnsi="方正仿宋_GBK" w:eastAsia="方正仿宋_GBK" w:cs="方正仿宋_GBK"/>
                <w:color w:val="auto"/>
                <w:sz w:val="24"/>
                <w:lang w:val="en-US" w:eastAsia="zh-CN"/>
              </w:rPr>
              <w:t>参加2023年度省级退役军人园地评定</w:t>
            </w:r>
            <w:r>
              <w:rPr>
                <w:rFonts w:hint="default" w:ascii="方正仿宋_GBK" w:hAnsi="方正仿宋_GBK" w:eastAsia="方正仿宋_GBK" w:cs="方正仿宋_GBK"/>
                <w:color w:val="auto"/>
                <w:sz w:val="24"/>
                <w:lang w:val="en-US" w:eastAsia="zh-CN"/>
              </w:rPr>
              <w:t>，所提供材料均真实有效。</w:t>
            </w:r>
          </w:p>
          <w:p>
            <w:pPr>
              <w:keepNext w:val="0"/>
              <w:keepLines w:val="0"/>
              <w:pageBreakBefore w:val="0"/>
              <w:kinsoku/>
              <w:overflowPunct/>
              <w:topLinePunct w:val="0"/>
              <w:autoSpaceDE/>
              <w:autoSpaceDN/>
              <w:bidi w:val="0"/>
              <w:adjustRightInd/>
              <w:spacing w:line="560" w:lineRule="exact"/>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申请单位：（盖章）</w:t>
            </w:r>
          </w:p>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kern w:val="0"/>
                <w:sz w:val="24"/>
              </w:rPr>
            </w:pPr>
            <w:r>
              <w:rPr>
                <w:rFonts w:hint="default" w:ascii="方正仿宋_GBK" w:hAnsi="方正仿宋_GBK" w:eastAsia="方正仿宋_GBK" w:cs="方正仿宋_GBK"/>
                <w:color w:val="auto"/>
                <w:sz w:val="24"/>
                <w:lang w:val="en-US" w:eastAsia="zh-CN"/>
              </w:rPr>
              <w:br w:type="textWrapping"/>
            </w:r>
            <w:r>
              <w:rPr>
                <w:rFonts w:hint="default" w:ascii="方正仿宋_GBK" w:hAnsi="方正仿宋_GBK" w:eastAsia="方正仿宋_GBK" w:cs="方正仿宋_GBK"/>
                <w:color w:val="auto"/>
                <w:sz w:val="24"/>
                <w:lang w:val="en-US" w:eastAsia="zh-CN"/>
              </w:rPr>
              <w:t xml:space="preserve">                                    年   月   日</w:t>
            </w:r>
          </w:p>
        </w:tc>
      </w:tr>
    </w:tbl>
    <w:p>
      <w:pPr>
        <w:keepNext w:val="0"/>
        <w:keepLines w:val="0"/>
        <w:pageBreakBefore w:val="0"/>
        <w:widowControl w:val="0"/>
        <w:kinsoku/>
        <w:overflowPunct/>
        <w:topLinePunct w:val="0"/>
        <w:autoSpaceDE/>
        <w:autoSpaceDN/>
        <w:bidi w:val="0"/>
        <w:adjustRightInd/>
        <w:spacing w:line="560" w:lineRule="exact"/>
        <w:ind w:firstLine="0" w:firstLineChars="0"/>
        <w:jc w:val="both"/>
        <w:rPr>
          <w:rFonts w:hint="eastAsia" w:ascii="方正小标宋简体" w:hAnsi="方正小标宋简体" w:eastAsia="方正小标宋简体" w:cs="方正小标宋简体"/>
          <w:color w:val="auto"/>
          <w:kern w:val="2"/>
          <w:sz w:val="44"/>
          <w:szCs w:val="44"/>
          <w:lang w:val="en-US" w:eastAsia="zh-CN" w:bidi="ar-SA"/>
        </w:rPr>
      </w:pPr>
    </w:p>
    <w:p>
      <w:pPr>
        <w:keepNext w:val="0"/>
        <w:keepLines w:val="0"/>
        <w:pageBreakBefore w:val="0"/>
        <w:widowControl w:val="0"/>
        <w:kinsoku/>
        <w:overflowPunct/>
        <w:topLinePunct w:val="0"/>
        <w:autoSpaceDE/>
        <w:autoSpaceDN/>
        <w:bidi w:val="0"/>
        <w:adjustRightInd/>
        <w:spacing w:line="560" w:lineRule="exact"/>
        <w:ind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p>
    <w:p>
      <w:pPr>
        <w:keepNext w:val="0"/>
        <w:keepLines w:val="0"/>
        <w:pageBreakBefore w:val="0"/>
        <w:widowControl w:val="0"/>
        <w:kinsoku/>
        <w:overflowPunct/>
        <w:topLinePunct w:val="0"/>
        <w:autoSpaceDE/>
        <w:autoSpaceDN/>
        <w:bidi w:val="0"/>
        <w:adjustRightInd/>
        <w:spacing w:line="560" w:lineRule="exact"/>
        <w:ind w:firstLine="0" w:firstLineChars="0"/>
        <w:jc w:val="both"/>
        <w:rPr>
          <w:rFonts w:hint="eastAsia" w:ascii="方正小标宋简体" w:hAnsi="方正小标宋简体" w:eastAsia="方正小标宋简体" w:cs="方正小标宋简体"/>
          <w:color w:val="auto"/>
          <w:kern w:val="2"/>
          <w:sz w:val="44"/>
          <w:szCs w:val="44"/>
          <w:lang w:val="en-US" w:eastAsia="zh-CN" w:bidi="ar-SA"/>
        </w:rPr>
      </w:pPr>
    </w:p>
    <w:p>
      <w:pPr>
        <w:keepNext w:val="0"/>
        <w:keepLines w:val="0"/>
        <w:pageBreakBefore w:val="0"/>
        <w:widowControl w:val="0"/>
        <w:kinsoku/>
        <w:overflowPunct/>
        <w:topLinePunct w:val="0"/>
        <w:autoSpaceDE/>
        <w:autoSpaceDN/>
        <w:bidi w:val="0"/>
        <w:adjustRightInd/>
        <w:spacing w:line="560" w:lineRule="exact"/>
        <w:ind w:firstLine="0" w:firstLineChars="0"/>
        <w:jc w:val="both"/>
        <w:rPr>
          <w:rFonts w:hint="eastAsia" w:ascii="方正小标宋简体" w:hAnsi="方正小标宋简体" w:eastAsia="方正小标宋简体" w:cs="方正小标宋简体"/>
          <w:color w:val="auto"/>
          <w:kern w:val="2"/>
          <w:sz w:val="44"/>
          <w:szCs w:val="44"/>
          <w:lang w:val="en-US" w:eastAsia="zh-CN" w:bidi="ar-SA"/>
        </w:rPr>
      </w:pPr>
    </w:p>
    <w:p>
      <w:pPr>
        <w:keepNext w:val="0"/>
        <w:keepLines w:val="0"/>
        <w:pageBreakBefore w:val="0"/>
        <w:widowControl w:val="0"/>
        <w:kinsoku/>
        <w:overflowPunct/>
        <w:topLinePunct w:val="0"/>
        <w:autoSpaceDE/>
        <w:autoSpaceDN/>
        <w:bidi w:val="0"/>
        <w:adjustRightInd/>
        <w:spacing w:line="560" w:lineRule="exact"/>
        <w:ind w:firstLine="0" w:firstLineChars="0"/>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云南省退役军人就业创业园地</w:t>
      </w:r>
    </w:p>
    <w:p>
      <w:pPr>
        <w:keepNext w:val="0"/>
        <w:keepLines w:val="0"/>
        <w:pageBreakBefore w:val="0"/>
        <w:widowControl w:val="0"/>
        <w:kinsoku/>
        <w:overflowPunct/>
        <w:topLinePunct w:val="0"/>
        <w:autoSpaceDE/>
        <w:autoSpaceDN/>
        <w:bidi w:val="0"/>
        <w:adjustRightInd/>
        <w:spacing w:line="560" w:lineRule="exact"/>
        <w:ind w:left="363" w:firstLine="0" w:firstLineChars="0"/>
        <w:jc w:val="center"/>
        <w:rPr>
          <w:rFonts w:hint="eastAsia" w:ascii="方正小标宋_GBK" w:hAnsi="方正小标宋_GBK" w:eastAsia="方正小标宋_GBK" w:cs="方正小标宋_GBK"/>
          <w:color w:val="auto"/>
          <w:kern w:val="2"/>
          <w:sz w:val="36"/>
          <w:szCs w:val="36"/>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申报表填报说明</w:t>
      </w:r>
    </w:p>
    <w:p>
      <w:pPr>
        <w:keepNext w:val="0"/>
        <w:keepLines w:val="0"/>
        <w:pageBreakBefore w:val="0"/>
        <w:widowControl w:val="0"/>
        <w:kinsoku/>
        <w:overflowPunct/>
        <w:topLinePunct w:val="0"/>
        <w:autoSpaceDE/>
        <w:autoSpaceDN/>
        <w:bidi w:val="0"/>
        <w:adjustRightInd/>
        <w:spacing w:line="560" w:lineRule="exact"/>
        <w:ind w:left="360" w:firstLine="0" w:firstLineChars="0"/>
        <w:jc w:val="center"/>
        <w:rPr>
          <w:rFonts w:hint="eastAsia" w:ascii="华文中宋" w:hAnsi="华文中宋" w:eastAsia="华文中宋" w:cs="Times New Roman"/>
          <w:color w:val="auto"/>
          <w:kern w:val="2"/>
          <w:sz w:val="36"/>
          <w:szCs w:val="36"/>
          <w:lang w:val="en-US" w:eastAsia="zh-CN" w:bidi="ar-SA"/>
        </w:rPr>
      </w:pP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1.《云南省退役军人就业创业园地申报表》是推荐确定省级退役军人就业创业园地的重要基础性资料，作为申报材料的附件一并上报。</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2.申报单位对填报的所有信息的真实性负有完全责任，推荐单位应对其真实性进行审核把关；如有弄虚作假，一经发现取消评选资格，并追究相应责任。</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3.绩效情况根据本单位近两年完成指标的真实情况填写；如无该指标项内容，则需在“绩效”栏内填写“无”，如未完成可填写“未完成”。</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4.所填写的绩效内容需提供相应佐证材料。</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5.申报单位应当在申报首页右上角加盖申报单位公章。</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eastAsia" w:ascii="黑体" w:hAnsi="黑体" w:eastAsia="黑体" w:cs="宋体"/>
          <w:color w:val="auto"/>
          <w:kern w:val="0"/>
          <w:sz w:val="32"/>
          <w:szCs w:val="32"/>
          <w:u w:val="none"/>
          <w:lang w:val="en-US" w:eastAsia="zh-CN"/>
        </w:rPr>
        <w:sectPr>
          <w:footerReference r:id="rId3" w:type="default"/>
          <w:pgSz w:w="11906" w:h="16838"/>
          <w:pgMar w:top="2098" w:right="1474" w:bottom="1984" w:left="1587" w:header="851" w:footer="992" w:gutter="0"/>
          <w:pgNumType w:fmt="decimal" w:start="3"/>
          <w:cols w:space="720" w:num="1"/>
          <w:docGrid w:type="lines" w:linePitch="312" w:charSpace="0"/>
        </w:sectPr>
      </w:pPr>
      <w:r>
        <w:rPr>
          <w:rFonts w:hint="eastAsia" w:ascii="仿宋" w:hAnsi="仿宋" w:eastAsia="仿宋" w:cs="仿宋"/>
          <w:color w:val="auto"/>
          <w:kern w:val="2"/>
          <w:sz w:val="32"/>
          <w:szCs w:val="32"/>
          <w:lang w:val="en-US" w:eastAsia="zh-CN" w:bidi="ar-SA"/>
        </w:rPr>
        <w:t>6.本表一式三份，申报单位留存一份，州市级退役军人事务部门留存一份，省级退役军人事务部门留存一份。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1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82C50"/>
    <w:rsid w:val="1C88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qFormat/>
    <w:uiPriority w:val="99"/>
    <w:pPr>
      <w:keepNext w:val="0"/>
      <w:keepLines w:val="0"/>
      <w:widowControl w:val="0"/>
      <w:suppressLineNumbers w:val="0"/>
      <w:spacing w:after="0" w:afterAutospacing="0" w:line="560" w:lineRule="exact"/>
      <w:ind w:left="0" w:leftChars="0" w:firstLine="420" w:firstLineChars="200"/>
      <w:jc w:val="both"/>
    </w:pPr>
    <w:rPr>
      <w:rFonts w:hint="default" w:ascii="仿宋_GB2312"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2023-10-08T07:58:00Z</dcterms:created>
  <dc:creator>Administrator</dc:creator>
  <cp:lastModifiedBy>Administrator</cp:lastModifiedBy>
  <dcterms:modified xsi:type="dcterms:W3CDTF">2023-10-08T07:59:07Z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