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0" w:line="580" w:lineRule="exact"/>
        <w:jc w:val="left"/>
        <w:textAlignment w:val="baseline"/>
        <w:rPr>
          <w:rFonts w:hint="default" w:ascii="Times New Roman" w:hAnsi="Times New Roman" w:eastAsia="宋体" w:cs="Times New Roman"/>
          <w:color w:val="auto"/>
          <w:kern w:val="0"/>
          <w:sz w:val="32"/>
          <w:szCs w:val="32"/>
          <w:lang w:val="en-US" w:eastAsia="zh-CN"/>
        </w:rPr>
      </w:pPr>
      <w:r>
        <w:rPr>
          <w:rFonts w:hint="default" w:ascii="Times New Roman" w:hAnsi="Times New Roman" w:eastAsia="黑体" w:cs="Times New Roman"/>
          <w:color w:val="auto"/>
          <w:kern w:val="0"/>
          <w:sz w:val="32"/>
          <w:szCs w:val="32"/>
          <w:u w:val="none"/>
          <w:lang w:val="en-US" w:eastAsia="zh-CN"/>
        </w:rPr>
        <w:t xml:space="preserve">附件1 </w:t>
      </w:r>
    </w:p>
    <w:p>
      <w:pPr>
        <w:keepNext w:val="0"/>
        <w:keepLines w:val="0"/>
        <w:pageBreakBefore w:val="0"/>
        <w:widowControl/>
        <w:kinsoku/>
        <w:overflowPunct/>
        <w:topLinePunct w:val="0"/>
        <w:autoSpaceDE/>
        <w:autoSpaceDN/>
        <w:bidi w:val="0"/>
        <w:adjustRightInd/>
        <w:spacing w:line="560" w:lineRule="exact"/>
        <w:jc w:val="center"/>
        <w:rPr>
          <w:rFonts w:hint="default" w:ascii="Times New Roman" w:hAnsi="Times New Roman" w:eastAsia="方正小标宋简体" w:cs="Times New Roman"/>
          <w:color w:val="auto"/>
          <w:kern w:val="0"/>
          <w:sz w:val="40"/>
          <w:szCs w:val="40"/>
        </w:rPr>
      </w:pPr>
      <w:r>
        <w:rPr>
          <w:rFonts w:hint="default" w:ascii="Times New Roman" w:hAnsi="Times New Roman" w:eastAsia="方正小标宋简体" w:cs="Times New Roman"/>
          <w:color w:val="auto"/>
          <w:kern w:val="0"/>
          <w:sz w:val="40"/>
          <w:szCs w:val="40"/>
          <w:lang w:eastAsia="zh-CN"/>
        </w:rPr>
        <w:t>云南</w:t>
      </w:r>
      <w:r>
        <w:rPr>
          <w:rFonts w:hint="default" w:ascii="Times New Roman" w:hAnsi="Times New Roman" w:eastAsia="方正小标宋简体" w:cs="Times New Roman"/>
          <w:color w:val="auto"/>
          <w:kern w:val="0"/>
          <w:sz w:val="40"/>
          <w:szCs w:val="40"/>
        </w:rPr>
        <w:t>省退役军人就业创业园地申报表</w:t>
      </w:r>
    </w:p>
    <w:tbl>
      <w:tblPr>
        <w:tblStyle w:val="4"/>
        <w:tblW w:w="88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9"/>
        <w:gridCol w:w="2713"/>
        <w:gridCol w:w="1139"/>
        <w:gridCol w:w="604"/>
        <w:gridCol w:w="2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1879" w:type="dxa"/>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园地名称</w:t>
            </w:r>
          </w:p>
        </w:tc>
        <w:tc>
          <w:tcPr>
            <w:tcW w:w="2713" w:type="dxa"/>
            <w:tcBorders>
              <w:right w:val="nil"/>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24"/>
              </w:rPr>
            </w:pPr>
          </w:p>
        </w:tc>
        <w:tc>
          <w:tcPr>
            <w:tcW w:w="1743" w:type="dxa"/>
            <w:gridSpan w:val="2"/>
            <w:tcBorders>
              <w:left w:val="nil"/>
              <w:right w:val="nil"/>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24"/>
              </w:rPr>
            </w:pPr>
          </w:p>
        </w:tc>
        <w:tc>
          <w:tcPr>
            <w:tcW w:w="2560" w:type="dxa"/>
            <w:tcBorders>
              <w:left w:val="nil"/>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1879" w:type="dxa"/>
            <w:tcBorders>
              <w:bottom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园地地址</w:t>
            </w:r>
          </w:p>
        </w:tc>
        <w:tc>
          <w:tcPr>
            <w:tcW w:w="2713" w:type="dxa"/>
            <w:tcBorders>
              <w:bottom w:val="single" w:color="auto" w:sz="4" w:space="0"/>
              <w:right w:val="nil"/>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24"/>
              </w:rPr>
            </w:pPr>
          </w:p>
        </w:tc>
        <w:tc>
          <w:tcPr>
            <w:tcW w:w="1743" w:type="dxa"/>
            <w:gridSpan w:val="2"/>
            <w:tcBorders>
              <w:left w:val="nil"/>
              <w:bottom w:val="single" w:color="auto" w:sz="4" w:space="0"/>
              <w:right w:val="nil"/>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24"/>
              </w:rPr>
            </w:pPr>
          </w:p>
        </w:tc>
        <w:tc>
          <w:tcPr>
            <w:tcW w:w="2560" w:type="dxa"/>
            <w:tcBorders>
              <w:left w:val="nil"/>
              <w:bottom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879" w:type="dxa"/>
            <w:tcBorders>
              <w:top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邮政编码</w:t>
            </w:r>
          </w:p>
        </w:tc>
        <w:tc>
          <w:tcPr>
            <w:tcW w:w="2713" w:type="dxa"/>
            <w:tcBorders>
              <w:top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黑体" w:cs="Times New Roman"/>
                <w:color w:val="auto"/>
                <w:sz w:val="24"/>
              </w:rPr>
            </w:pPr>
          </w:p>
        </w:tc>
        <w:tc>
          <w:tcPr>
            <w:tcW w:w="1743"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对外公开电话</w:t>
            </w:r>
          </w:p>
        </w:tc>
        <w:tc>
          <w:tcPr>
            <w:tcW w:w="2560" w:type="dxa"/>
            <w:tcBorders>
              <w:top w:val="single" w:color="auto" w:sz="4" w:space="0"/>
              <w:lef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黑体"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1879" w:type="dxa"/>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园地启用时间</w:t>
            </w:r>
          </w:p>
        </w:tc>
        <w:tc>
          <w:tcPr>
            <w:tcW w:w="2713" w:type="dxa"/>
            <w:tcBorders>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ind w:firstLine="840" w:firstLineChars="35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年   月   日</w:t>
            </w:r>
          </w:p>
        </w:tc>
        <w:tc>
          <w:tcPr>
            <w:tcW w:w="1743" w:type="dxa"/>
            <w:gridSpan w:val="2"/>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认定为</w:t>
            </w:r>
            <w:r>
              <w:rPr>
                <w:rFonts w:hint="eastAsia" w:ascii="Times New Roman" w:hAnsi="Times New Roman" w:eastAsia="黑体" w:cs="Times New Roman"/>
                <w:color w:val="auto"/>
                <w:sz w:val="24"/>
                <w:lang w:eastAsia="zh-CN"/>
              </w:rPr>
              <w:t>州</w:t>
            </w:r>
            <w:r>
              <w:rPr>
                <w:rFonts w:hint="default" w:ascii="Times New Roman" w:hAnsi="Times New Roman" w:eastAsia="黑体" w:cs="Times New Roman"/>
                <w:color w:val="auto"/>
                <w:sz w:val="24"/>
              </w:rPr>
              <w:t>市级</w:t>
            </w:r>
          </w:p>
          <w:p>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园地时间</w:t>
            </w:r>
          </w:p>
        </w:tc>
        <w:tc>
          <w:tcPr>
            <w:tcW w:w="2560" w:type="dxa"/>
            <w:tcBorders>
              <w:left w:val="single" w:color="auto" w:sz="4" w:space="0"/>
            </w:tcBorders>
            <w:noWrap w:val="0"/>
            <w:vAlign w:val="center"/>
          </w:tcPr>
          <w:p>
            <w:pPr>
              <w:keepNext w:val="0"/>
              <w:keepLines w:val="0"/>
              <w:pageBreakBefore w:val="0"/>
              <w:kinsoku/>
              <w:wordWrap w:val="0"/>
              <w:overflowPunct/>
              <w:topLinePunct w:val="0"/>
              <w:autoSpaceDE/>
              <w:autoSpaceDN/>
              <w:bidi w:val="0"/>
              <w:adjustRightInd/>
              <w:spacing w:line="560" w:lineRule="exact"/>
              <w:jc w:val="right"/>
              <w:textAlignment w:val="auto"/>
              <w:rPr>
                <w:rFonts w:hint="default" w:ascii="Times New Roman" w:hAnsi="Times New Roman" w:eastAsia="黑体"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1879" w:type="dxa"/>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园地占地面积</w:t>
            </w:r>
          </w:p>
        </w:tc>
        <w:tc>
          <w:tcPr>
            <w:tcW w:w="2713" w:type="dxa"/>
            <w:tcBorders>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righ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平方米</w:t>
            </w:r>
          </w:p>
        </w:tc>
        <w:tc>
          <w:tcPr>
            <w:tcW w:w="1743" w:type="dxa"/>
            <w:gridSpan w:val="2"/>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园地建筑面积</w:t>
            </w:r>
          </w:p>
        </w:tc>
        <w:tc>
          <w:tcPr>
            <w:tcW w:w="2560" w:type="dxa"/>
            <w:tcBorders>
              <w:lef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righ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1879" w:type="dxa"/>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培训场所面积</w:t>
            </w:r>
          </w:p>
        </w:tc>
        <w:tc>
          <w:tcPr>
            <w:tcW w:w="2713" w:type="dxa"/>
            <w:noWrap w:val="0"/>
            <w:vAlign w:val="center"/>
          </w:tcPr>
          <w:p>
            <w:pPr>
              <w:keepNext w:val="0"/>
              <w:keepLines w:val="0"/>
              <w:pageBreakBefore w:val="0"/>
              <w:kinsoku/>
              <w:overflowPunct/>
              <w:topLinePunct w:val="0"/>
              <w:autoSpaceDE/>
              <w:autoSpaceDN/>
              <w:bidi w:val="0"/>
              <w:adjustRightInd/>
              <w:spacing w:line="560" w:lineRule="exact"/>
              <w:jc w:val="righ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平方米</w:t>
            </w:r>
          </w:p>
        </w:tc>
        <w:tc>
          <w:tcPr>
            <w:tcW w:w="1743" w:type="dxa"/>
            <w:gridSpan w:val="2"/>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就业场所面积</w:t>
            </w:r>
          </w:p>
        </w:tc>
        <w:tc>
          <w:tcPr>
            <w:tcW w:w="2560" w:type="dxa"/>
            <w:noWrap w:val="0"/>
            <w:vAlign w:val="center"/>
          </w:tcPr>
          <w:p>
            <w:pPr>
              <w:keepNext w:val="0"/>
              <w:keepLines w:val="0"/>
              <w:pageBreakBefore w:val="0"/>
              <w:kinsoku/>
              <w:overflowPunct/>
              <w:topLinePunct w:val="0"/>
              <w:autoSpaceDE/>
              <w:autoSpaceDN/>
              <w:bidi w:val="0"/>
              <w:adjustRightInd/>
              <w:spacing w:line="560" w:lineRule="exact"/>
              <w:jc w:val="righ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1879" w:type="dxa"/>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孵化场所面积</w:t>
            </w:r>
          </w:p>
        </w:tc>
        <w:tc>
          <w:tcPr>
            <w:tcW w:w="2713" w:type="dxa"/>
            <w:noWrap w:val="0"/>
            <w:vAlign w:val="center"/>
          </w:tcPr>
          <w:p>
            <w:pPr>
              <w:keepNext w:val="0"/>
              <w:keepLines w:val="0"/>
              <w:pageBreakBefore w:val="0"/>
              <w:kinsoku/>
              <w:overflowPunct/>
              <w:topLinePunct w:val="0"/>
              <w:autoSpaceDE/>
              <w:autoSpaceDN/>
              <w:bidi w:val="0"/>
              <w:adjustRightInd/>
              <w:spacing w:line="560" w:lineRule="exact"/>
              <w:jc w:val="righ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平方米</w:t>
            </w:r>
          </w:p>
        </w:tc>
        <w:tc>
          <w:tcPr>
            <w:tcW w:w="1743" w:type="dxa"/>
            <w:gridSpan w:val="2"/>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园地资产总值</w:t>
            </w:r>
          </w:p>
        </w:tc>
        <w:tc>
          <w:tcPr>
            <w:tcW w:w="2560" w:type="dxa"/>
            <w:noWrap w:val="0"/>
            <w:vAlign w:val="center"/>
          </w:tcPr>
          <w:p>
            <w:pPr>
              <w:keepNext w:val="0"/>
              <w:keepLines w:val="0"/>
              <w:pageBreakBefore w:val="0"/>
              <w:kinsoku/>
              <w:overflowPunct/>
              <w:topLinePunct w:val="0"/>
              <w:autoSpaceDE/>
              <w:autoSpaceDN/>
              <w:bidi w:val="0"/>
              <w:adjustRightInd/>
              <w:spacing w:line="560" w:lineRule="exact"/>
              <w:jc w:val="righ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879" w:type="dxa"/>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园地资产性质</w:t>
            </w:r>
          </w:p>
        </w:tc>
        <w:tc>
          <w:tcPr>
            <w:tcW w:w="2713" w:type="dxa"/>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国有/集体/私有/混合</w:t>
            </w:r>
          </w:p>
        </w:tc>
        <w:tc>
          <w:tcPr>
            <w:tcW w:w="1743" w:type="dxa"/>
            <w:gridSpan w:val="2"/>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园地资产权属</w:t>
            </w:r>
          </w:p>
        </w:tc>
        <w:tc>
          <w:tcPr>
            <w:tcW w:w="2560" w:type="dxa"/>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（具体单位）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79" w:type="dxa"/>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园地机构性质</w:t>
            </w:r>
          </w:p>
        </w:tc>
        <w:tc>
          <w:tcPr>
            <w:tcW w:w="2713" w:type="dxa"/>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事业/企业/非企业法人</w:t>
            </w:r>
          </w:p>
        </w:tc>
        <w:tc>
          <w:tcPr>
            <w:tcW w:w="1743" w:type="dxa"/>
            <w:gridSpan w:val="2"/>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园地统一社会信用代码</w:t>
            </w:r>
          </w:p>
        </w:tc>
        <w:tc>
          <w:tcPr>
            <w:tcW w:w="2560" w:type="dxa"/>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jc w:val="center"/>
        </w:trPr>
        <w:tc>
          <w:tcPr>
            <w:tcW w:w="1879" w:type="dxa"/>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园地负责人</w:t>
            </w:r>
          </w:p>
        </w:tc>
        <w:tc>
          <w:tcPr>
            <w:tcW w:w="2713" w:type="dxa"/>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4"/>
              </w:rPr>
            </w:pPr>
          </w:p>
        </w:tc>
        <w:tc>
          <w:tcPr>
            <w:tcW w:w="1743" w:type="dxa"/>
            <w:gridSpan w:val="2"/>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联系电话</w:t>
            </w:r>
          </w:p>
        </w:tc>
        <w:tc>
          <w:tcPr>
            <w:tcW w:w="2560" w:type="dxa"/>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1879" w:type="dxa"/>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园地运营方式</w:t>
            </w:r>
          </w:p>
        </w:tc>
        <w:tc>
          <w:tcPr>
            <w:tcW w:w="2713" w:type="dxa"/>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自营/委托/合作</w:t>
            </w:r>
          </w:p>
        </w:tc>
        <w:tc>
          <w:tcPr>
            <w:tcW w:w="1743" w:type="dxa"/>
            <w:gridSpan w:val="2"/>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园地运营机构</w:t>
            </w:r>
          </w:p>
        </w:tc>
        <w:tc>
          <w:tcPr>
            <w:tcW w:w="2560" w:type="dxa"/>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（具体单位）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879" w:type="dxa"/>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运营负责人</w:t>
            </w:r>
          </w:p>
        </w:tc>
        <w:tc>
          <w:tcPr>
            <w:tcW w:w="2713" w:type="dxa"/>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24"/>
              </w:rPr>
            </w:pPr>
          </w:p>
        </w:tc>
        <w:tc>
          <w:tcPr>
            <w:tcW w:w="1743" w:type="dxa"/>
            <w:gridSpan w:val="2"/>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联系电话</w:t>
            </w:r>
          </w:p>
        </w:tc>
        <w:tc>
          <w:tcPr>
            <w:tcW w:w="2560" w:type="dxa"/>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黑体"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jc w:val="center"/>
        </w:trPr>
        <w:tc>
          <w:tcPr>
            <w:tcW w:w="1879" w:type="dxa"/>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具备资质情况</w:t>
            </w:r>
          </w:p>
        </w:tc>
        <w:tc>
          <w:tcPr>
            <w:tcW w:w="7016" w:type="dxa"/>
            <w:gridSpan w:val="4"/>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黑体" w:cs="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8" w:hRule="atLeast"/>
          <w:jc w:val="center"/>
        </w:trPr>
        <w:tc>
          <w:tcPr>
            <w:tcW w:w="1879" w:type="dxa"/>
            <w:noWrap w:val="0"/>
            <w:vAlign w:val="center"/>
          </w:tcPr>
          <w:p>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对退役军人特殊优惠情况</w:t>
            </w:r>
          </w:p>
        </w:tc>
        <w:tc>
          <w:tcPr>
            <w:tcW w:w="7016" w:type="dxa"/>
            <w:gridSpan w:val="4"/>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黑体" w:cs="Times New Roman"/>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1879" w:type="dxa"/>
            <w:vMerge w:val="restart"/>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lang w:eastAsia="zh-CN"/>
              </w:rPr>
            </w:pPr>
            <w:r>
              <w:rPr>
                <w:rFonts w:hint="default" w:ascii="Times New Roman" w:hAnsi="Times New Roman" w:eastAsia="黑体" w:cs="Times New Roman"/>
                <w:color w:val="auto"/>
                <w:sz w:val="26"/>
                <w:szCs w:val="26"/>
                <w:lang w:eastAsia="zh-CN"/>
              </w:rPr>
              <w:t>教育培训绩效情况</w:t>
            </w: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kern w:val="0"/>
                <w:sz w:val="24"/>
              </w:rPr>
              <w:t>指标内容</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widowControl/>
              <w:kinsoku/>
              <w:overflowPunct/>
              <w:topLinePunct w:val="0"/>
              <w:autoSpaceDE/>
              <w:autoSpaceDN/>
              <w:bidi w:val="0"/>
              <w:adjustRightInd/>
              <w:snapToGrid w:val="0"/>
              <w:spacing w:line="560" w:lineRule="exact"/>
              <w:contextualSpacing/>
              <w:jc w:val="center"/>
              <w:textAlignment w:val="auto"/>
              <w:rPr>
                <w:rFonts w:hint="default" w:ascii="Times New Roman" w:hAnsi="Times New Roman" w:eastAsia="黑体" w:cs="Times New Roman"/>
                <w:b w:val="0"/>
                <w:bCs/>
                <w:color w:val="auto"/>
                <w:kern w:val="0"/>
                <w:sz w:val="24"/>
              </w:rPr>
            </w:pPr>
            <w:r>
              <w:rPr>
                <w:rFonts w:hint="default" w:ascii="Times New Roman" w:hAnsi="Times New Roman" w:eastAsia="黑体" w:cs="Times New Roman"/>
                <w:b w:val="0"/>
                <w:bCs/>
                <w:color w:val="auto"/>
                <w:kern w:val="0"/>
                <w:sz w:val="24"/>
              </w:rPr>
              <w:t>绩  效</w:t>
            </w:r>
          </w:p>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黑体" w:cs="Times New Roman"/>
                <w:b w:val="0"/>
                <w:bCs/>
                <w:color w:val="auto"/>
                <w:kern w:val="0"/>
                <w:sz w:val="24"/>
              </w:rPr>
            </w:pPr>
            <w:r>
              <w:rPr>
                <w:rFonts w:hint="default" w:ascii="Times New Roman" w:hAnsi="Times New Roman" w:eastAsia="黑体" w:cs="Times New Roman"/>
                <w:b w:val="0"/>
                <w:bCs/>
                <w:color w:val="auto"/>
                <w:kern w:val="0"/>
                <w:sz w:val="24"/>
                <w:highlight w:val="none"/>
              </w:rPr>
              <w:t>（20</w:t>
            </w:r>
            <w:r>
              <w:rPr>
                <w:rFonts w:hint="default" w:ascii="Times New Roman" w:hAnsi="Times New Roman" w:eastAsia="黑体" w:cs="Times New Roman"/>
                <w:b w:val="0"/>
                <w:bCs/>
                <w:color w:val="auto"/>
                <w:kern w:val="0"/>
                <w:sz w:val="24"/>
                <w:highlight w:val="none"/>
                <w:lang w:val="en-US" w:eastAsia="zh-CN"/>
              </w:rPr>
              <w:t>2</w:t>
            </w:r>
            <w:r>
              <w:rPr>
                <w:rFonts w:hint="eastAsia" w:ascii="Times New Roman" w:hAnsi="Times New Roman" w:eastAsia="黑体" w:cs="Times New Roman"/>
                <w:b w:val="0"/>
                <w:bCs/>
                <w:color w:val="auto"/>
                <w:kern w:val="0"/>
                <w:sz w:val="24"/>
                <w:highlight w:val="none"/>
                <w:lang w:val="en-US" w:eastAsia="zh-CN"/>
              </w:rPr>
              <w:t>2</w:t>
            </w:r>
            <w:r>
              <w:rPr>
                <w:rFonts w:hint="default" w:ascii="Times New Roman" w:hAnsi="Times New Roman" w:eastAsia="黑体" w:cs="Times New Roman"/>
                <w:b w:val="0"/>
                <w:bCs/>
                <w:color w:val="auto"/>
                <w:kern w:val="0"/>
                <w:sz w:val="24"/>
                <w:highlight w:val="none"/>
              </w:rPr>
              <w:t>年</w:t>
            </w:r>
            <w:r>
              <w:rPr>
                <w:rFonts w:hint="eastAsia" w:ascii="Times New Roman" w:hAnsi="Times New Roman" w:eastAsia="黑体" w:cs="Times New Roman"/>
                <w:b w:val="0"/>
                <w:bCs/>
                <w:color w:val="auto"/>
                <w:kern w:val="0"/>
                <w:sz w:val="24"/>
                <w:highlight w:val="none"/>
                <w:lang w:val="en-US" w:eastAsia="zh-CN"/>
              </w:rPr>
              <w:t>5</w:t>
            </w:r>
            <w:r>
              <w:rPr>
                <w:rFonts w:hint="default" w:ascii="Times New Roman" w:hAnsi="Times New Roman" w:eastAsia="黑体" w:cs="Times New Roman"/>
                <w:b w:val="0"/>
                <w:bCs/>
                <w:color w:val="auto"/>
                <w:kern w:val="0"/>
                <w:sz w:val="24"/>
                <w:highlight w:val="none"/>
              </w:rPr>
              <w:t>月-</w:t>
            </w:r>
            <w:r>
              <w:rPr>
                <w:rFonts w:hint="default" w:ascii="Times New Roman" w:hAnsi="Times New Roman" w:eastAsia="黑体" w:cs="Times New Roman"/>
                <w:b w:val="0"/>
                <w:bCs/>
                <w:color w:val="auto"/>
                <w:kern w:val="0"/>
                <w:sz w:val="24"/>
                <w:highlight w:val="none"/>
                <w:lang w:val="en"/>
              </w:rPr>
              <w:t>2024</w:t>
            </w:r>
            <w:r>
              <w:rPr>
                <w:rFonts w:hint="default" w:ascii="Times New Roman" w:hAnsi="Times New Roman" w:eastAsia="黑体" w:cs="Times New Roman"/>
                <w:b w:val="0"/>
                <w:bCs/>
                <w:color w:val="auto"/>
                <w:kern w:val="0"/>
                <w:sz w:val="24"/>
                <w:highlight w:val="none"/>
              </w:rPr>
              <w:t>年</w:t>
            </w:r>
            <w:r>
              <w:rPr>
                <w:rFonts w:hint="eastAsia" w:ascii="Times New Roman" w:hAnsi="Times New Roman" w:eastAsia="黑体" w:cs="Times New Roman"/>
                <w:b w:val="0"/>
                <w:bCs/>
                <w:color w:val="auto"/>
                <w:kern w:val="0"/>
                <w:sz w:val="24"/>
                <w:highlight w:val="none"/>
                <w:lang w:val="en-US" w:eastAsia="zh-CN"/>
              </w:rPr>
              <w:t>5</w:t>
            </w:r>
            <w:r>
              <w:rPr>
                <w:rFonts w:hint="default" w:ascii="Times New Roman" w:hAnsi="Times New Roman" w:eastAsia="黑体" w:cs="Times New Roman"/>
                <w:b w:val="0"/>
                <w:bCs/>
                <w:color w:val="auto"/>
                <w:kern w:val="0"/>
                <w:sz w:val="24"/>
                <w:highlight w:val="none"/>
              </w:rPr>
              <w:t>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已实际开展过退役军人相关教育培训任务的承训人数（人次/年）</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面向企业、学校和社会开展职业教育或技能培训的总人数</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可提供教育培训类别数（学历培训、技能培训）（个）</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可承训的专业数量（个）</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具备线上培训平台或网络远程教育（是/否）</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有合作关系的培训机构数（个）</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师生比</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高级职称教师比例（%）</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具有行业一线工作经历8年以上的教师比例（%）</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退役军人培训班次（个）</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退役军人参加的课程数量（个）</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职业技能证书取证率（%）</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培训结束后获得结业证书的比例（%）</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学员培训后就业率（%）</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就业与培训专业相关率（%）</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培训后平均起薪水平（元/月）</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培训学员满意度（%）</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1312" w:hRule="atLeast"/>
          <w:jc w:val="center"/>
        </w:trPr>
        <w:tc>
          <w:tcPr>
            <w:tcW w:w="1879" w:type="dxa"/>
            <w:vMerge w:val="restart"/>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lang w:eastAsia="zh-CN"/>
              </w:rPr>
            </w:pPr>
            <w:r>
              <w:rPr>
                <w:rFonts w:hint="default" w:ascii="Times New Roman" w:hAnsi="Times New Roman" w:eastAsia="黑体" w:cs="Times New Roman"/>
                <w:color w:val="auto"/>
                <w:sz w:val="26"/>
                <w:szCs w:val="26"/>
                <w:lang w:eastAsia="zh-CN"/>
              </w:rPr>
              <w:t>就业绩效情况</w:t>
            </w: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kern w:val="0"/>
                <w:sz w:val="24"/>
              </w:rPr>
              <w:t>指标内容</w:t>
            </w:r>
          </w:p>
        </w:tc>
        <w:tc>
          <w:tcPr>
            <w:tcW w:w="3164" w:type="dxa"/>
            <w:gridSpan w:val="2"/>
            <w:tcBorders>
              <w:top w:val="nil"/>
              <w:left w:val="nil"/>
              <w:right w:val="single" w:color="000000" w:sz="4" w:space="0"/>
            </w:tcBorders>
            <w:noWrap w:val="0"/>
            <w:vAlign w:val="center"/>
          </w:tcPr>
          <w:tbl>
            <w:tblPr>
              <w:tblStyle w:val="4"/>
              <w:tblW w:w="3164" w:type="dxa"/>
              <w:jc w:val="center"/>
              <w:tblBorders>
                <w:top w:val="single" w:color="000000" w:sz="6" w:space="0"/>
                <w:left w:val="single" w:color="000000" w:sz="6" w:space="0"/>
                <w:bottom w:val="single" w:color="000000" w:sz="4" w:space="0"/>
                <w:right w:val="single" w:color="000000" w:sz="6" w:space="0"/>
                <w:insideH w:val="none" w:color="auto" w:sz="0" w:space="0"/>
                <w:insideV w:val="single" w:color="000000" w:sz="4" w:space="0"/>
              </w:tblBorders>
              <w:tblLayout w:type="fixed"/>
              <w:tblCellMar>
                <w:top w:w="0" w:type="dxa"/>
                <w:left w:w="108" w:type="dxa"/>
                <w:bottom w:w="0" w:type="dxa"/>
                <w:right w:w="108" w:type="dxa"/>
              </w:tblCellMar>
            </w:tblPr>
            <w:tblGrid>
              <w:gridCol w:w="3164"/>
            </w:tblGrid>
            <w:tr>
              <w:tblPrEx>
                <w:tblBorders>
                  <w:top w:val="single" w:color="000000" w:sz="6" w:space="0"/>
                  <w:left w:val="single" w:color="000000" w:sz="6" w:space="0"/>
                  <w:bottom w:val="single" w:color="000000" w:sz="4" w:space="0"/>
                  <w:right w:val="single" w:color="000000" w:sz="6" w:space="0"/>
                  <w:insideH w:val="none" w:color="auto" w:sz="0" w:space="0"/>
                  <w:insideV w:val="single" w:color="000000" w:sz="4" w:space="0"/>
                </w:tblBorders>
                <w:tblCellMar>
                  <w:top w:w="0" w:type="dxa"/>
                  <w:left w:w="108" w:type="dxa"/>
                  <w:bottom w:w="0" w:type="dxa"/>
                  <w:right w:w="108" w:type="dxa"/>
                </w:tblCellMar>
              </w:tblPrEx>
              <w:trPr>
                <w:trHeight w:val="634" w:hRule="atLeast"/>
                <w:jc w:val="center"/>
              </w:trPr>
              <w:tc>
                <w:tcPr>
                  <w:tcW w:w="3164" w:type="dxa"/>
                  <w:tcBorders>
                    <w:top w:val="nil"/>
                    <w:left w:val="nil"/>
                    <w:bottom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b w:val="0"/>
                      <w:bCs/>
                      <w:color w:val="auto"/>
                      <w:kern w:val="0"/>
                      <w:sz w:val="24"/>
                    </w:rPr>
                  </w:pPr>
                  <w:r>
                    <w:rPr>
                      <w:rFonts w:hint="default" w:ascii="Times New Roman" w:hAnsi="Times New Roman" w:eastAsia="黑体" w:cs="Times New Roman"/>
                      <w:b w:val="0"/>
                      <w:bCs/>
                      <w:color w:val="auto"/>
                      <w:kern w:val="0"/>
                      <w:sz w:val="24"/>
                    </w:rPr>
                    <w:t>绩  效</w:t>
                  </w:r>
                </w:p>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b w:val="0"/>
                      <w:bCs/>
                      <w:color w:val="auto"/>
                      <w:kern w:val="0"/>
                      <w:sz w:val="24"/>
                    </w:rPr>
                  </w:pPr>
                  <w:r>
                    <w:rPr>
                      <w:rFonts w:hint="default" w:ascii="Times New Roman" w:hAnsi="Times New Roman" w:eastAsia="黑体" w:cs="Times New Roman"/>
                      <w:b w:val="0"/>
                      <w:bCs/>
                      <w:color w:val="auto"/>
                      <w:kern w:val="0"/>
                      <w:sz w:val="24"/>
                      <w:highlight w:val="none"/>
                    </w:rPr>
                    <w:t>（20</w:t>
                  </w:r>
                  <w:r>
                    <w:rPr>
                      <w:rFonts w:hint="default" w:ascii="Times New Roman" w:hAnsi="Times New Roman" w:eastAsia="黑体" w:cs="Times New Roman"/>
                      <w:b w:val="0"/>
                      <w:bCs/>
                      <w:color w:val="auto"/>
                      <w:kern w:val="0"/>
                      <w:sz w:val="24"/>
                      <w:highlight w:val="none"/>
                      <w:lang w:val="en-US" w:eastAsia="zh-CN"/>
                    </w:rPr>
                    <w:t>2</w:t>
                  </w:r>
                  <w:r>
                    <w:rPr>
                      <w:rFonts w:hint="eastAsia" w:ascii="Times New Roman" w:hAnsi="Times New Roman" w:eastAsia="黑体" w:cs="Times New Roman"/>
                      <w:b w:val="0"/>
                      <w:bCs/>
                      <w:color w:val="auto"/>
                      <w:kern w:val="0"/>
                      <w:sz w:val="24"/>
                      <w:highlight w:val="none"/>
                      <w:lang w:val="en-US" w:eastAsia="zh-CN"/>
                    </w:rPr>
                    <w:t>2</w:t>
                  </w:r>
                  <w:r>
                    <w:rPr>
                      <w:rFonts w:hint="default" w:ascii="Times New Roman" w:hAnsi="Times New Roman" w:eastAsia="黑体" w:cs="Times New Roman"/>
                      <w:b w:val="0"/>
                      <w:bCs/>
                      <w:color w:val="auto"/>
                      <w:kern w:val="0"/>
                      <w:sz w:val="24"/>
                      <w:highlight w:val="none"/>
                    </w:rPr>
                    <w:t>年</w:t>
                  </w:r>
                  <w:r>
                    <w:rPr>
                      <w:rFonts w:hint="eastAsia" w:ascii="Times New Roman" w:hAnsi="Times New Roman" w:eastAsia="黑体" w:cs="Times New Roman"/>
                      <w:b w:val="0"/>
                      <w:bCs/>
                      <w:color w:val="auto"/>
                      <w:kern w:val="0"/>
                      <w:sz w:val="24"/>
                      <w:highlight w:val="none"/>
                      <w:lang w:val="en-US" w:eastAsia="zh-CN"/>
                    </w:rPr>
                    <w:t>5</w:t>
                  </w:r>
                  <w:r>
                    <w:rPr>
                      <w:rFonts w:hint="default" w:ascii="Times New Roman" w:hAnsi="Times New Roman" w:eastAsia="黑体" w:cs="Times New Roman"/>
                      <w:b w:val="0"/>
                      <w:bCs/>
                      <w:color w:val="auto"/>
                      <w:kern w:val="0"/>
                      <w:sz w:val="24"/>
                      <w:highlight w:val="none"/>
                    </w:rPr>
                    <w:t>月-</w:t>
                  </w:r>
                  <w:r>
                    <w:rPr>
                      <w:rFonts w:hint="default" w:ascii="Times New Roman" w:hAnsi="Times New Roman" w:eastAsia="黑体" w:cs="Times New Roman"/>
                      <w:b w:val="0"/>
                      <w:bCs/>
                      <w:color w:val="auto"/>
                      <w:kern w:val="0"/>
                      <w:sz w:val="24"/>
                      <w:highlight w:val="none"/>
                      <w:lang w:val="en"/>
                    </w:rPr>
                    <w:t>2024</w:t>
                  </w:r>
                  <w:r>
                    <w:rPr>
                      <w:rFonts w:hint="default" w:ascii="Times New Roman" w:hAnsi="Times New Roman" w:eastAsia="黑体" w:cs="Times New Roman"/>
                      <w:b w:val="0"/>
                      <w:bCs/>
                      <w:color w:val="auto"/>
                      <w:kern w:val="0"/>
                      <w:sz w:val="24"/>
                      <w:highlight w:val="none"/>
                    </w:rPr>
                    <w:t>年</w:t>
                  </w:r>
                  <w:r>
                    <w:rPr>
                      <w:rFonts w:hint="eastAsia" w:ascii="Times New Roman" w:hAnsi="Times New Roman" w:eastAsia="黑体" w:cs="Times New Roman"/>
                      <w:b w:val="0"/>
                      <w:bCs/>
                      <w:color w:val="auto"/>
                      <w:kern w:val="0"/>
                      <w:sz w:val="24"/>
                      <w:highlight w:val="none"/>
                      <w:lang w:val="en-US" w:eastAsia="zh-CN"/>
                    </w:rPr>
                    <w:t>5</w:t>
                  </w:r>
                  <w:r>
                    <w:rPr>
                      <w:rFonts w:hint="default" w:ascii="Times New Roman" w:hAnsi="Times New Roman" w:eastAsia="黑体" w:cs="Times New Roman"/>
                      <w:b w:val="0"/>
                      <w:bCs/>
                      <w:color w:val="auto"/>
                      <w:kern w:val="0"/>
                      <w:sz w:val="24"/>
                      <w:highlight w:val="none"/>
                    </w:rPr>
                    <w:t>月）</w:t>
                  </w:r>
                </w:p>
              </w:tc>
            </w:tr>
          </w:tbl>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b w:val="0"/>
                <w:bCs/>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开展退役军人就业相关工作服务年限（包括2018年前）</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机构与接收退役军人就业的央企或大型国有企业建立战略合作伙伴关系数（个）</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机构与国家级行业协会建立长期合作关系数（个）</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线上招聘平台</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线上招聘平台发布职位数（个）</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招聘服务合作企业数（个）</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提供就业岗位数量（个）</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组织或参加招聘会数量（含地方和进军营）（次）</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服务退役军人就业人数（人次/年）</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经退役军人事务主管部门指定的第三方机构评估，退役军人就业满意度（%）</w:t>
            </w:r>
          </w:p>
        </w:tc>
        <w:tc>
          <w:tcPr>
            <w:tcW w:w="3164" w:type="dxa"/>
            <w:gridSpan w:val="2"/>
            <w:tcBorders>
              <w:top w:val="single" w:color="000000" w:sz="4" w:space="0"/>
              <w:left w:val="nil"/>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服务区域范围（个/省市）</w:t>
            </w:r>
          </w:p>
        </w:tc>
        <w:tc>
          <w:tcPr>
            <w:tcW w:w="3164"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职业测评/就业指导人数（人）</w:t>
            </w:r>
          </w:p>
        </w:tc>
        <w:tc>
          <w:tcPr>
            <w:tcW w:w="3164"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见习基地个数（个）</w:t>
            </w:r>
          </w:p>
        </w:tc>
        <w:tc>
          <w:tcPr>
            <w:tcW w:w="3164"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948"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见习人数（人次）</w:t>
            </w:r>
          </w:p>
        </w:tc>
        <w:tc>
          <w:tcPr>
            <w:tcW w:w="3164"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pPr>
              <w:keepNext w:val="0"/>
              <w:keepLines w:val="0"/>
              <w:pageBreakBefore w:val="0"/>
              <w:widowControl/>
              <w:kinsoku/>
              <w:overflowPunct/>
              <w:topLinePunct w:val="0"/>
              <w:autoSpaceDE/>
              <w:autoSpaceDN/>
              <w:bidi w:val="0"/>
              <w:adjustRightInd/>
              <w:snapToGrid w:val="0"/>
              <w:spacing w:line="560" w:lineRule="exact"/>
              <w:contextualSpacing/>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已运营年限（包括2018年前）</w:t>
            </w:r>
          </w:p>
        </w:tc>
        <w:tc>
          <w:tcPr>
            <w:tcW w:w="3164" w:type="dxa"/>
            <w:gridSpan w:val="2"/>
            <w:tcBorders>
              <w:top w:val="single" w:color="auto" w:sz="4" w:space="0"/>
            </w:tcBorders>
            <w:noWrap w:val="0"/>
            <w:vAlign w:val="center"/>
          </w:tcPr>
          <w:p>
            <w:pPr>
              <w:keepNext w:val="0"/>
              <w:keepLines w:val="0"/>
              <w:pageBreakBefore w:val="0"/>
              <w:widowControl/>
              <w:kinsoku/>
              <w:overflowPunct/>
              <w:topLinePunct w:val="0"/>
              <w:autoSpaceDE/>
              <w:autoSpaceDN/>
              <w:bidi w:val="0"/>
              <w:adjustRightInd/>
              <w:snapToGrid w:val="0"/>
              <w:spacing w:line="560" w:lineRule="exact"/>
              <w:contextualSpacing/>
              <w:jc w:val="center"/>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pPr>
              <w:keepNext w:val="0"/>
              <w:keepLines w:val="0"/>
              <w:pageBreakBefore w:val="0"/>
              <w:widowControl/>
              <w:kinsoku/>
              <w:overflowPunct/>
              <w:topLinePunct w:val="0"/>
              <w:autoSpaceDE/>
              <w:autoSpaceDN/>
              <w:bidi w:val="0"/>
              <w:adjustRightInd/>
              <w:snapToGrid w:val="0"/>
              <w:spacing w:line="560" w:lineRule="exact"/>
              <w:contextualSpacing/>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功能区设置（是否有会议室、路演中心及其他功能区域）</w:t>
            </w:r>
          </w:p>
        </w:tc>
        <w:tc>
          <w:tcPr>
            <w:tcW w:w="3164" w:type="dxa"/>
            <w:gridSpan w:val="2"/>
            <w:noWrap w:val="0"/>
            <w:vAlign w:val="center"/>
          </w:tcPr>
          <w:p>
            <w:pPr>
              <w:keepNext w:val="0"/>
              <w:keepLines w:val="0"/>
              <w:pageBreakBefore w:val="0"/>
              <w:widowControl/>
              <w:kinsoku/>
              <w:overflowPunct/>
              <w:topLinePunct w:val="0"/>
              <w:autoSpaceDE/>
              <w:autoSpaceDN/>
              <w:bidi w:val="0"/>
              <w:adjustRightInd/>
              <w:snapToGrid w:val="0"/>
              <w:spacing w:line="560" w:lineRule="exact"/>
              <w:contextualSpacing/>
              <w:jc w:val="center"/>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pPr>
              <w:keepNext w:val="0"/>
              <w:keepLines w:val="0"/>
              <w:pageBreakBefore w:val="0"/>
              <w:widowControl/>
              <w:kinsoku/>
              <w:overflowPunct/>
              <w:topLinePunct w:val="0"/>
              <w:autoSpaceDE/>
              <w:autoSpaceDN/>
              <w:bidi w:val="0"/>
              <w:adjustRightInd/>
              <w:snapToGrid w:val="0"/>
              <w:spacing w:line="560" w:lineRule="exact"/>
              <w:contextualSpacing/>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具有创业苗圃（是/否）</w:t>
            </w:r>
          </w:p>
        </w:tc>
        <w:tc>
          <w:tcPr>
            <w:tcW w:w="3164" w:type="dxa"/>
            <w:gridSpan w:val="2"/>
            <w:noWrap w:val="0"/>
            <w:vAlign w:val="center"/>
          </w:tcPr>
          <w:p>
            <w:pPr>
              <w:keepNext w:val="0"/>
              <w:keepLines w:val="0"/>
              <w:pageBreakBefore w:val="0"/>
              <w:widowControl/>
              <w:kinsoku/>
              <w:overflowPunct/>
              <w:topLinePunct w:val="0"/>
              <w:autoSpaceDE/>
              <w:autoSpaceDN/>
              <w:bidi w:val="0"/>
              <w:adjustRightInd/>
              <w:snapToGrid w:val="0"/>
              <w:spacing w:line="560" w:lineRule="exact"/>
              <w:contextualSpacing/>
              <w:jc w:val="center"/>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载体平台</w:t>
            </w:r>
          </w:p>
        </w:tc>
        <w:tc>
          <w:tcPr>
            <w:tcW w:w="3164" w:type="dxa"/>
            <w:gridSpan w:val="2"/>
            <w:noWrap w:val="0"/>
            <w:vAlign w:val="center"/>
          </w:tcPr>
          <w:p>
            <w:pPr>
              <w:keepNext w:val="0"/>
              <w:keepLines w:val="0"/>
              <w:pageBreakBefore w:val="0"/>
              <w:widowControl/>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服务平台（服务维度全面性，是否有工商税服务、法律服务、创业培训服务、融资服务以及其他服务）</w:t>
            </w:r>
          </w:p>
        </w:tc>
        <w:tc>
          <w:tcPr>
            <w:tcW w:w="3164" w:type="dxa"/>
            <w:gridSpan w:val="2"/>
            <w:noWrap w:val="0"/>
            <w:vAlign w:val="center"/>
          </w:tcPr>
          <w:p>
            <w:pPr>
              <w:keepNext w:val="0"/>
              <w:keepLines w:val="0"/>
              <w:pageBreakBefore w:val="0"/>
              <w:widowControl/>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金融平台（是否有对接金融服务的银行机构、是否有政府资金类政策对接等功能）</w:t>
            </w:r>
          </w:p>
        </w:tc>
        <w:tc>
          <w:tcPr>
            <w:tcW w:w="3164" w:type="dxa"/>
            <w:gridSpan w:val="2"/>
            <w:noWrap w:val="0"/>
            <w:vAlign w:val="center"/>
          </w:tcPr>
          <w:p>
            <w:pPr>
              <w:keepNext w:val="0"/>
              <w:keepLines w:val="0"/>
              <w:pageBreakBefore w:val="0"/>
              <w:widowControl/>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创业导师人数</w:t>
            </w:r>
          </w:p>
        </w:tc>
        <w:tc>
          <w:tcPr>
            <w:tcW w:w="3164" w:type="dxa"/>
            <w:gridSpan w:val="2"/>
            <w:noWrap w:val="0"/>
            <w:vAlign w:val="center"/>
          </w:tcPr>
          <w:p>
            <w:pPr>
              <w:keepNext w:val="0"/>
              <w:keepLines w:val="0"/>
              <w:pageBreakBefore w:val="0"/>
              <w:widowControl/>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孵化载体是否具备自有孵化基金</w:t>
            </w:r>
          </w:p>
        </w:tc>
        <w:tc>
          <w:tcPr>
            <w:tcW w:w="3164" w:type="dxa"/>
            <w:gridSpan w:val="2"/>
            <w:noWrap w:val="0"/>
            <w:vAlign w:val="center"/>
          </w:tcPr>
          <w:p>
            <w:pPr>
              <w:keepNext w:val="0"/>
              <w:keepLines w:val="0"/>
              <w:pageBreakBefore w:val="0"/>
              <w:widowControl/>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期末在孵实体数（户）</w:t>
            </w:r>
          </w:p>
        </w:tc>
        <w:tc>
          <w:tcPr>
            <w:tcW w:w="3164" w:type="dxa"/>
            <w:gridSpan w:val="2"/>
            <w:noWrap w:val="0"/>
            <w:vAlign w:val="center"/>
          </w:tcPr>
          <w:p>
            <w:pPr>
              <w:keepNext w:val="0"/>
              <w:keepLines w:val="0"/>
              <w:pageBreakBefore w:val="0"/>
              <w:widowControl/>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期末在孵实体提供就业岗位数（个）</w:t>
            </w:r>
          </w:p>
        </w:tc>
        <w:tc>
          <w:tcPr>
            <w:tcW w:w="3164" w:type="dxa"/>
            <w:gridSpan w:val="2"/>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期末在孵退役军人创业实体数（户）</w:t>
            </w:r>
          </w:p>
        </w:tc>
        <w:tc>
          <w:tcPr>
            <w:tcW w:w="3164" w:type="dxa"/>
            <w:gridSpan w:val="2"/>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778"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期末在孵退役军人创业实体提供就业岗位数（个）</w:t>
            </w:r>
          </w:p>
        </w:tc>
        <w:tc>
          <w:tcPr>
            <w:tcW w:w="3164" w:type="dxa"/>
            <w:gridSpan w:val="2"/>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期末孵化场所利用率（%）</w:t>
            </w:r>
          </w:p>
        </w:tc>
        <w:tc>
          <w:tcPr>
            <w:tcW w:w="3164" w:type="dxa"/>
            <w:gridSpan w:val="2"/>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当期入孵实体孵化成功率（%）</w:t>
            </w:r>
          </w:p>
        </w:tc>
        <w:tc>
          <w:tcPr>
            <w:tcW w:w="3164" w:type="dxa"/>
            <w:gridSpan w:val="2"/>
            <w:noWrap w:val="0"/>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当期入孵实体到期出园率（%）</w:t>
            </w:r>
          </w:p>
        </w:tc>
        <w:tc>
          <w:tcPr>
            <w:tcW w:w="3164" w:type="dxa"/>
            <w:gridSpan w:val="2"/>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组织开展创业服务活动数量</w:t>
            </w:r>
          </w:p>
        </w:tc>
        <w:tc>
          <w:tcPr>
            <w:tcW w:w="3164" w:type="dxa"/>
            <w:gridSpan w:val="2"/>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入孵实体获得区、市、国家荣誉数</w:t>
            </w:r>
          </w:p>
        </w:tc>
        <w:tc>
          <w:tcPr>
            <w:tcW w:w="3164" w:type="dxa"/>
            <w:gridSpan w:val="2"/>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在园退役军人创业实体满意率（%）</w:t>
            </w:r>
          </w:p>
        </w:tc>
        <w:tc>
          <w:tcPr>
            <w:tcW w:w="3164" w:type="dxa"/>
            <w:gridSpan w:val="2"/>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879" w:type="dxa"/>
            <w:vMerge w:val="continue"/>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出园退役军人创业实体满意率（%）</w:t>
            </w:r>
          </w:p>
        </w:tc>
        <w:tc>
          <w:tcPr>
            <w:tcW w:w="3164" w:type="dxa"/>
            <w:gridSpan w:val="2"/>
            <w:noWrap w:val="0"/>
            <w:vAlign w:val="center"/>
          </w:tcPr>
          <w:p>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4930" w:hRule="atLeast"/>
          <w:jc w:val="center"/>
        </w:trPr>
        <w:tc>
          <w:tcPr>
            <w:tcW w:w="1879" w:type="dxa"/>
            <w:tcBorders>
              <w:left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lang w:eastAsia="zh-CN"/>
              </w:rPr>
            </w:pPr>
            <w:r>
              <w:rPr>
                <w:rFonts w:hint="default" w:ascii="Times New Roman" w:hAnsi="Times New Roman" w:eastAsia="黑体" w:cs="Times New Roman"/>
                <w:b w:val="0"/>
                <w:bCs w:val="0"/>
                <w:color w:val="auto"/>
                <w:sz w:val="24"/>
                <w:lang w:eastAsia="zh-CN"/>
              </w:rPr>
              <w:t>参评机构承诺</w:t>
            </w:r>
          </w:p>
        </w:tc>
        <w:tc>
          <w:tcPr>
            <w:tcW w:w="7016" w:type="dxa"/>
            <w:gridSpan w:val="4"/>
            <w:noWrap w:val="0"/>
            <w:vAlign w:val="center"/>
          </w:tcPr>
          <w:p>
            <w:pPr>
              <w:keepNext w:val="0"/>
              <w:keepLines w:val="0"/>
              <w:pageBreakBefore w:val="0"/>
              <w:kinsoku/>
              <w:overflowPunct/>
              <w:topLinePunct w:val="0"/>
              <w:autoSpaceDE/>
              <w:autoSpaceDN/>
              <w:bidi w:val="0"/>
              <w:adjustRightInd/>
              <w:spacing w:line="560" w:lineRule="exact"/>
              <w:ind w:firstLine="480" w:firstLineChars="200"/>
              <w:jc w:val="left"/>
              <w:textAlignment w:val="auto"/>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lang w:val="en-US" w:eastAsia="zh-CN"/>
              </w:rPr>
              <w:t>自愿申请参加</w:t>
            </w:r>
            <w:r>
              <w:rPr>
                <w:rFonts w:hint="default" w:ascii="Times New Roman" w:hAnsi="Times New Roman" w:eastAsia="方正仿宋_GBK" w:cs="Times New Roman"/>
                <w:color w:val="auto"/>
                <w:sz w:val="24"/>
                <w:lang w:val="en" w:eastAsia="zh-CN"/>
              </w:rPr>
              <w:t>2024</w:t>
            </w:r>
            <w:r>
              <w:rPr>
                <w:rFonts w:hint="default" w:ascii="Times New Roman" w:hAnsi="Times New Roman" w:eastAsia="方正仿宋_GBK" w:cs="Times New Roman"/>
                <w:color w:val="auto"/>
                <w:sz w:val="24"/>
                <w:lang w:val="en-US" w:eastAsia="zh-CN"/>
              </w:rPr>
              <w:t>年度</w:t>
            </w:r>
            <w:r>
              <w:rPr>
                <w:rFonts w:hint="default" w:ascii="Times New Roman" w:hAnsi="Times New Roman" w:eastAsia="方正仿宋_GBK" w:cs="Times New Roman"/>
                <w:color w:val="auto"/>
                <w:sz w:val="24"/>
                <w:highlight w:val="none"/>
                <w:lang w:val="en-US" w:eastAsia="zh-CN"/>
              </w:rPr>
              <w:t>省级退役军人</w:t>
            </w:r>
            <w:r>
              <w:rPr>
                <w:rFonts w:hint="eastAsia" w:ascii="Times New Roman" w:hAnsi="Times New Roman" w:eastAsia="方正仿宋_GBK" w:cs="Times New Roman"/>
                <w:color w:val="auto"/>
                <w:sz w:val="24"/>
                <w:highlight w:val="none"/>
                <w:lang w:val="en-US" w:eastAsia="zh-CN"/>
              </w:rPr>
              <w:t>就业创业</w:t>
            </w:r>
            <w:r>
              <w:rPr>
                <w:rFonts w:hint="default" w:ascii="Times New Roman" w:hAnsi="Times New Roman" w:eastAsia="方正仿宋_GBK" w:cs="Times New Roman"/>
                <w:color w:val="auto"/>
                <w:sz w:val="24"/>
                <w:highlight w:val="none"/>
                <w:lang w:val="en-US" w:eastAsia="zh-CN"/>
              </w:rPr>
              <w:t>园地</w:t>
            </w:r>
            <w:r>
              <w:rPr>
                <w:rFonts w:hint="default" w:ascii="Times New Roman" w:hAnsi="Times New Roman" w:eastAsia="方正仿宋_GBK" w:cs="Times New Roman"/>
                <w:color w:val="auto"/>
                <w:sz w:val="24"/>
                <w:lang w:val="en-US" w:eastAsia="zh-CN"/>
              </w:rPr>
              <w:t>评定，所提供材料均真实有效。</w:t>
            </w:r>
          </w:p>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lang w:val="en-US" w:eastAsia="zh-CN"/>
              </w:rPr>
              <w:t>申请单位：（盖章）</w:t>
            </w:r>
          </w:p>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sz w:val="24"/>
                <w:lang w:val="en-US" w:eastAsia="zh-CN"/>
              </w:rPr>
              <w:br w:type="textWrapping"/>
            </w:r>
            <w:r>
              <w:rPr>
                <w:rFonts w:hint="default" w:ascii="Times New Roman" w:hAnsi="Times New Roman" w:eastAsia="方正仿宋_GBK" w:cs="Times New Roman"/>
                <w:color w:val="auto"/>
                <w:sz w:val="24"/>
                <w:lang w:val="en-US" w:eastAsia="zh-CN"/>
              </w:rPr>
              <w:t xml:space="preserve">                                    年   月   日</w:t>
            </w:r>
          </w:p>
        </w:tc>
      </w:tr>
    </w:tbl>
    <w:p/>
    <w:p>
      <w:pPr>
        <w:pStyle w:val="2"/>
        <w:ind w:left="0" w:leftChars="0" w:firstLine="0" w:firstLineChars="0"/>
      </w:pPr>
    </w:p>
    <w:p>
      <w:pPr>
        <w:pStyle w:val="2"/>
        <w:ind w:left="0" w:leftChars="0" w:firstLine="0" w:firstLineChars="0"/>
      </w:pPr>
    </w:p>
    <w:p>
      <w:pPr>
        <w:pStyle w:val="2"/>
      </w:pPr>
    </w:p>
    <w:p>
      <w:pPr>
        <w:keepNext w:val="0"/>
        <w:keepLines w:val="0"/>
        <w:pageBreakBefore w:val="0"/>
        <w:widowControl w:val="0"/>
        <w:kinsoku/>
        <w:overflowPunct/>
        <w:topLinePunct w:val="0"/>
        <w:autoSpaceDE/>
        <w:autoSpaceDN/>
        <w:bidi w:val="0"/>
        <w:adjustRightInd/>
        <w:spacing w:line="560" w:lineRule="exact"/>
        <w:ind w:firstLine="0" w:firstLineChars="0"/>
        <w:jc w:val="center"/>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云南省退役军人就业创业园地</w:t>
      </w:r>
    </w:p>
    <w:p>
      <w:pPr>
        <w:keepNext w:val="0"/>
        <w:keepLines w:val="0"/>
        <w:pageBreakBefore w:val="0"/>
        <w:widowControl w:val="0"/>
        <w:kinsoku/>
        <w:overflowPunct/>
        <w:topLinePunct w:val="0"/>
        <w:autoSpaceDE/>
        <w:autoSpaceDN/>
        <w:bidi w:val="0"/>
        <w:adjustRightInd/>
        <w:spacing w:line="560" w:lineRule="exact"/>
        <w:ind w:left="363" w:firstLine="0" w:firstLineChars="0"/>
        <w:jc w:val="center"/>
        <w:rPr>
          <w:rFonts w:hint="eastAsia" w:ascii="方正小标宋_GBK" w:hAnsi="方正小标宋_GBK" w:eastAsia="方正小标宋_GBK" w:cs="方正小标宋_GBK"/>
          <w:color w:val="auto"/>
          <w:kern w:val="2"/>
          <w:sz w:val="36"/>
          <w:szCs w:val="36"/>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申报表填报说明</w:t>
      </w:r>
    </w:p>
    <w:p>
      <w:pPr>
        <w:keepNext w:val="0"/>
        <w:keepLines w:val="0"/>
        <w:pageBreakBefore w:val="0"/>
        <w:widowControl w:val="0"/>
        <w:kinsoku/>
        <w:overflowPunct/>
        <w:topLinePunct w:val="0"/>
        <w:autoSpaceDE/>
        <w:autoSpaceDN/>
        <w:bidi w:val="0"/>
        <w:adjustRightInd/>
        <w:spacing w:line="560" w:lineRule="exact"/>
        <w:ind w:left="360" w:firstLine="0" w:firstLineChars="0"/>
        <w:jc w:val="center"/>
        <w:rPr>
          <w:rFonts w:hint="default" w:ascii="Times New Roman" w:hAnsi="Times New Roman" w:eastAsia="华文中宋" w:cs="Times New Roman"/>
          <w:color w:val="auto"/>
          <w:kern w:val="2"/>
          <w:sz w:val="36"/>
          <w:szCs w:val="36"/>
          <w:lang w:val="en-US" w:eastAsia="zh-CN" w:bidi="ar-SA"/>
        </w:rPr>
      </w:pPr>
    </w:p>
    <w:p>
      <w:pPr>
        <w:keepNext w:val="0"/>
        <w:keepLines w:val="0"/>
        <w:pageBreakBefore w:val="0"/>
        <w:widowControl w:val="0"/>
        <w:kinsoku/>
        <w:overflowPunct/>
        <w:topLinePunct w:val="0"/>
        <w:autoSpaceDE/>
        <w:autoSpaceDN/>
        <w:bidi w:val="0"/>
        <w:adjustRightInd/>
        <w:spacing w:line="560" w:lineRule="exact"/>
        <w:ind w:firstLine="640" w:firstLineChars="200"/>
        <w:jc w:val="both"/>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1.《云南省退役军人就业创业园地申报表》是推荐确定省级退役军人就业创业园地的重要基础性资料，作为申报材料的附件一并上报。</w:t>
      </w:r>
    </w:p>
    <w:p>
      <w:pPr>
        <w:keepNext w:val="0"/>
        <w:keepLines w:val="0"/>
        <w:pageBreakBefore w:val="0"/>
        <w:widowControl w:val="0"/>
        <w:kinsoku/>
        <w:overflowPunct/>
        <w:topLinePunct w:val="0"/>
        <w:autoSpaceDE/>
        <w:autoSpaceDN/>
        <w:bidi w:val="0"/>
        <w:adjustRightInd/>
        <w:spacing w:line="560" w:lineRule="exact"/>
        <w:ind w:firstLine="640" w:firstLineChars="200"/>
        <w:jc w:val="both"/>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2.申报单位对填报的所有信息的真实性负有完全责任，推荐单位应对其真实性进行审核把关；如有弄虚作假，一经发现取消评选资格，并追究相应责任。</w:t>
      </w:r>
    </w:p>
    <w:p>
      <w:pPr>
        <w:keepNext w:val="0"/>
        <w:keepLines w:val="0"/>
        <w:pageBreakBefore w:val="0"/>
        <w:widowControl w:val="0"/>
        <w:kinsoku/>
        <w:overflowPunct/>
        <w:topLinePunct w:val="0"/>
        <w:autoSpaceDE/>
        <w:autoSpaceDN/>
        <w:bidi w:val="0"/>
        <w:adjustRightInd/>
        <w:spacing w:line="560" w:lineRule="exact"/>
        <w:ind w:firstLine="640" w:firstLineChars="200"/>
        <w:jc w:val="both"/>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3.绩效情况根据本单位近两年完成指标的真实情况填写；如无该指标项内容，则需在“绩效”栏内填写“无”，如未完成可填写“未完成”。</w:t>
      </w:r>
    </w:p>
    <w:p>
      <w:pPr>
        <w:keepNext w:val="0"/>
        <w:keepLines w:val="0"/>
        <w:pageBreakBefore w:val="0"/>
        <w:widowControl w:val="0"/>
        <w:kinsoku/>
        <w:overflowPunct/>
        <w:topLinePunct w:val="0"/>
        <w:autoSpaceDE/>
        <w:autoSpaceDN/>
        <w:bidi w:val="0"/>
        <w:adjustRightInd/>
        <w:spacing w:line="560" w:lineRule="exact"/>
        <w:ind w:firstLine="640" w:firstLineChars="200"/>
        <w:jc w:val="both"/>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4.所填写的绩效内容需提供相应佐证材料。</w:t>
      </w:r>
    </w:p>
    <w:p>
      <w:pPr>
        <w:keepNext w:val="0"/>
        <w:keepLines w:val="0"/>
        <w:pageBreakBefore w:val="0"/>
        <w:widowControl w:val="0"/>
        <w:kinsoku/>
        <w:overflowPunct/>
        <w:topLinePunct w:val="0"/>
        <w:autoSpaceDE/>
        <w:autoSpaceDN/>
        <w:bidi w:val="0"/>
        <w:adjustRightInd/>
        <w:spacing w:line="560" w:lineRule="exact"/>
        <w:ind w:firstLine="640" w:firstLineChars="200"/>
        <w:jc w:val="both"/>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5.申报单位应当在申报首页右上角加盖申报单位公章。</w:t>
      </w:r>
    </w:p>
    <w:p>
      <w:pPr>
        <w:keepNext w:val="0"/>
        <w:keepLines w:val="0"/>
        <w:pageBreakBefore w:val="0"/>
        <w:widowControl w:val="0"/>
        <w:kinsoku/>
        <w:overflowPunct/>
        <w:topLinePunct w:val="0"/>
        <w:autoSpaceDE/>
        <w:autoSpaceDN/>
        <w:bidi w:val="0"/>
        <w:adjustRightInd/>
        <w:spacing w:line="560" w:lineRule="exact"/>
        <w:ind w:firstLine="640" w:firstLineChars="200"/>
        <w:jc w:val="both"/>
        <w:rPr>
          <w:rFonts w:hint="default" w:ascii="Times New Roman" w:hAnsi="Times New Roman" w:eastAsia="黑体" w:cs="Times New Roman"/>
          <w:color w:val="auto"/>
          <w:kern w:val="0"/>
          <w:sz w:val="32"/>
          <w:szCs w:val="32"/>
          <w:u w:val="none"/>
          <w:lang w:val="en-US" w:eastAsia="zh-CN"/>
        </w:rPr>
        <w:sectPr>
          <w:footerReference r:id="rId3" w:type="default"/>
          <w:pgSz w:w="11906" w:h="16838"/>
          <w:pgMar w:top="2098" w:right="1474" w:bottom="1984" w:left="1587" w:header="851" w:footer="992" w:gutter="0"/>
          <w:pgNumType w:fmt="decimal" w:start="8"/>
          <w:cols w:space="720" w:num="1"/>
          <w:docGrid w:type="lines" w:linePitch="312" w:charSpace="0"/>
        </w:sectPr>
      </w:pPr>
      <w:r>
        <w:rPr>
          <w:rFonts w:hint="default" w:ascii="Times New Roman" w:hAnsi="Times New Roman" w:eastAsia="仿宋" w:cs="Times New Roman"/>
          <w:color w:val="auto"/>
          <w:kern w:val="2"/>
          <w:sz w:val="32"/>
          <w:szCs w:val="32"/>
          <w:lang w:val="en-US" w:eastAsia="zh-CN" w:bidi="ar-SA"/>
        </w:rPr>
        <w:t>6.本表一式三份，申报单位留存一份，州市级退役军人事务部门留存一份，省级退役军人事务部门留存一份</w:t>
      </w:r>
      <w:r>
        <w:rPr>
          <w:rFonts w:hint="eastAsia" w:ascii="Times New Roman" w:hAnsi="Times New Roman" w:eastAsia="仿宋" w:cs="Times New Roman"/>
          <w:color w:val="auto"/>
          <w:kern w:val="2"/>
          <w:sz w:val="32"/>
          <w:szCs w:val="32"/>
          <w:lang w:val="en-US" w:eastAsia="zh-CN" w:bidi="ar-SA"/>
        </w:rPr>
        <w:t>。</w:t>
      </w:r>
      <w:bookmarkStart w:id="0" w:name="_GoBack"/>
      <w:bookmarkEnd w:id="0"/>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0A9FC7-B5EA-4B80-8713-0F31F81AA1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26723D1-AAFB-48EF-970C-198BA406AF7C}"/>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3" w:fontKey="{FEA9EBDA-C249-4749-8F52-4BDB3137EAE1}"/>
  </w:font>
  <w:font w:name="方正仿宋_GBK">
    <w:panose1 w:val="02000000000000000000"/>
    <w:charset w:val="86"/>
    <w:family w:val="auto"/>
    <w:pitch w:val="default"/>
    <w:sig w:usb0="A00002BF" w:usb1="38CF7CFA" w:usb2="00082016" w:usb3="00000000" w:csb0="00040001" w:csb1="00000000"/>
    <w:embedRegular r:id="rId4" w:fontKey="{78F43435-F4DE-4CD6-AC9A-BEE6BCE5A2B4}"/>
  </w:font>
  <w:font w:name="方正小标宋_GBK">
    <w:panose1 w:val="02000000000000000000"/>
    <w:charset w:val="86"/>
    <w:family w:val="auto"/>
    <w:pitch w:val="default"/>
    <w:sig w:usb0="A00002BF" w:usb1="38CF7CFA" w:usb2="00082016" w:usb3="00000000" w:csb0="00040001" w:csb1="00000000"/>
    <w:embedRegular r:id="rId5" w:fontKey="{17B9A9DE-FF96-4872-BCA9-C03E6E925504}"/>
  </w:font>
  <w:font w:name="华文中宋">
    <w:panose1 w:val="02010600040101010101"/>
    <w:charset w:val="86"/>
    <w:family w:val="auto"/>
    <w:pitch w:val="default"/>
    <w:sig w:usb0="00000287" w:usb1="080F0000" w:usb2="00000000" w:usb3="00000000" w:csb0="0004009F" w:csb1="DFD70000"/>
    <w:embedRegular r:id="rId6" w:fontKey="{3E7423ED-4556-4706-8CE4-C7B975A86DB3}"/>
  </w:font>
  <w:font w:name="仿宋">
    <w:panose1 w:val="02010609060101010101"/>
    <w:charset w:val="86"/>
    <w:family w:val="auto"/>
    <w:pitch w:val="default"/>
    <w:sig w:usb0="800002BF" w:usb1="38CF7CFA" w:usb2="00000016" w:usb3="00000000" w:csb0="00040001" w:csb1="00000000"/>
    <w:embedRegular r:id="rId7" w:fontKey="{D192E683-0D28-4F39-94FC-FD31A87225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81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2</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2</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486A100C"/>
    <w:rsid w:val="486A100C"/>
    <w:rsid w:val="62CC2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99"/>
    <w:pPr>
      <w:keepNext w:val="0"/>
      <w:keepLines w:val="0"/>
      <w:widowControl w:val="0"/>
      <w:suppressLineNumbers w:val="0"/>
      <w:spacing w:after="0" w:afterAutospacing="0" w:line="560" w:lineRule="exact"/>
      <w:ind w:left="0" w:leftChars="0" w:firstLine="420" w:firstLineChars="200"/>
      <w:jc w:val="both"/>
    </w:pPr>
    <w:rPr>
      <w:rFonts w:hint="default" w:ascii="仿宋_GB2312" w:hAnsi="Calibri" w:eastAsia="宋体" w:cs="Times New Roman"/>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2024-06-04T06:36:00Z</dcterms:created>
  <dc:creator>miss秋秋</dc:creator>
  <cp:lastModifiedBy>miss秋秋</cp:lastModifiedBy>
  <dcterms:modified xsi:type="dcterms:W3CDTF">2024-06-04T06:38:20Z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3549648E45AC4EB9A9E17F87D3832ACC_11</vt:lpwstr>
  </property>
</Properties>
</file>