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926D">
      <w:pPr>
        <w:widowControl/>
        <w:shd w:val="clear" w:color="auto" w:fill="FFFFFF"/>
        <w:spacing w:after="150" w:line="580" w:lineRule="exact"/>
        <w:jc w:val="left"/>
        <w:textAlignment w:val="baseline"/>
        <w:rPr>
          <w:rFonts w:hint="default" w:ascii="Times New Roman" w:hAnsi="Times New Roman" w:eastAsia="黑体" w:cs="Times New Roman"/>
          <w:color w:val="auto"/>
          <w:kern w:val="0"/>
          <w:sz w:val="32"/>
          <w:szCs w:val="32"/>
          <w:u w:val="none"/>
          <w:lang w:val="en-US" w:eastAsia="zh-CN"/>
        </w:rPr>
      </w:pPr>
      <w:bookmarkStart w:id="0" w:name="_GoBack"/>
      <w:r>
        <w:rPr>
          <w:rFonts w:hint="default" w:ascii="Times New Roman" w:hAnsi="Times New Roman" w:eastAsia="黑体" w:cs="Times New Roman"/>
          <w:color w:val="auto"/>
          <w:kern w:val="0"/>
          <w:sz w:val="32"/>
          <w:szCs w:val="32"/>
          <w:u w:val="none"/>
          <w:lang w:val="en-US" w:eastAsia="zh-CN"/>
        </w:rPr>
        <w:t>附件2</w:t>
      </w:r>
    </w:p>
    <w:p w14:paraId="7F09C18B">
      <w:pPr>
        <w:pStyle w:val="3"/>
        <w:keepNext w:val="0"/>
        <w:keepLines w:val="0"/>
        <w:widowControl w:val="0"/>
        <w:suppressLineNumbers w:val="0"/>
        <w:overflowPunct w:val="0"/>
        <w:autoSpaceDE w:val="0"/>
        <w:autoSpaceDN/>
        <w:spacing w:before="100" w:beforeAutospacing="1" w:after="95" w:afterLines="30" w:afterAutospacing="0" w:line="580" w:lineRule="exact"/>
        <w:ind w:left="0" w:leftChars="0" w:right="0" w:firstLine="0" w:firstLineChars="0"/>
        <w:jc w:val="center"/>
        <w:rPr>
          <w:rFonts w:hint="default" w:ascii="Times New Roman" w:hAnsi="Times New Roman" w:eastAsia="方正小标宋简体" w:cs="Times New Roman"/>
          <w:color w:val="auto"/>
          <w:kern w:val="2"/>
          <w:sz w:val="44"/>
          <w:szCs w:val="44"/>
        </w:rPr>
      </w:pPr>
      <w:r>
        <w:rPr>
          <w:rFonts w:hint="eastAsia" w:ascii="方正小标宋_GBK" w:hAnsi="方正小标宋_GBK" w:eastAsia="方正小标宋_GBK" w:cs="方正小标宋_GBK"/>
          <w:color w:val="auto"/>
          <w:kern w:val="2"/>
          <w:sz w:val="44"/>
          <w:szCs w:val="44"/>
        </w:rPr>
        <w:t>云南省退役军人就业创业</w:t>
      </w:r>
      <w:r>
        <w:rPr>
          <w:rFonts w:hint="eastAsia" w:ascii="方正小标宋_GBK" w:hAnsi="方正小标宋_GBK" w:eastAsia="方正小标宋_GBK" w:cs="方正小标宋_GBK"/>
          <w:color w:val="auto"/>
          <w:kern w:val="2"/>
          <w:sz w:val="44"/>
          <w:szCs w:val="44"/>
          <w:lang w:eastAsia="zh-CN"/>
        </w:rPr>
        <w:t>服务高质量发展项目自评表</w:t>
      </w:r>
      <w:r>
        <w:rPr>
          <w:rFonts w:hint="eastAsia" w:ascii="方正小标宋_GBK" w:hAnsi="方正小标宋_GBK" w:eastAsia="方正小标宋_GBK" w:cs="方正小标宋_GBK"/>
          <w:color w:val="auto"/>
          <w:kern w:val="2"/>
          <w:sz w:val="44"/>
          <w:szCs w:val="44"/>
        </w:rPr>
        <w:t>（院校类）</w:t>
      </w:r>
    </w:p>
    <w:bookmarkEnd w:id="0"/>
    <w:tbl>
      <w:tblPr>
        <w:tblStyle w:val="5"/>
        <w:tblW w:w="0" w:type="auto"/>
        <w:jc w:val="center"/>
        <w:tblLayout w:type="fixed"/>
        <w:tblCellMar>
          <w:top w:w="0" w:type="dxa"/>
          <w:left w:w="0" w:type="dxa"/>
          <w:bottom w:w="0" w:type="dxa"/>
          <w:right w:w="0" w:type="dxa"/>
        </w:tblCellMar>
      </w:tblPr>
      <w:tblGrid>
        <w:gridCol w:w="360"/>
        <w:gridCol w:w="963"/>
        <w:gridCol w:w="3175"/>
        <w:gridCol w:w="4020"/>
        <w:gridCol w:w="2238"/>
        <w:gridCol w:w="662"/>
        <w:gridCol w:w="563"/>
        <w:gridCol w:w="987"/>
        <w:gridCol w:w="605"/>
        <w:gridCol w:w="950"/>
      </w:tblGrid>
      <w:tr w14:paraId="3BF28DC3">
        <w:tblPrEx>
          <w:tblCellMar>
            <w:top w:w="0" w:type="dxa"/>
            <w:left w:w="0" w:type="dxa"/>
            <w:bottom w:w="0" w:type="dxa"/>
            <w:right w:w="0" w:type="dxa"/>
          </w:tblCellMar>
        </w:tblPrEx>
        <w:trPr>
          <w:trHeight w:val="484" w:hRule="atLeast"/>
          <w:jc w:val="center"/>
        </w:trPr>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88FA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序</w:t>
            </w:r>
          </w:p>
          <w:p w14:paraId="669B75A7">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号</w:t>
            </w:r>
          </w:p>
        </w:tc>
        <w:tc>
          <w:tcPr>
            <w:tcW w:w="9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334DFC">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项目</w:t>
            </w:r>
          </w:p>
          <w:p w14:paraId="62247BF8">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名称</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E28CD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评估标准</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54434F3">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评分标准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BF941E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备查材料及考察</w:t>
            </w:r>
          </w:p>
          <w:p w14:paraId="02605BE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内容</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371C26">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分值</w:t>
            </w:r>
          </w:p>
          <w:p w14:paraId="19C8042F">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（分）</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04F051F">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自评分值</w:t>
            </w: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F2892F">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院校自评</w:t>
            </w:r>
          </w:p>
          <w:p w14:paraId="1510BDC9">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意见</w:t>
            </w: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9E810E">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专家</w:t>
            </w:r>
          </w:p>
          <w:p w14:paraId="331134ED">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评分</w:t>
            </w: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E99956">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0"/>
                <w:sz w:val="22"/>
                <w:szCs w:val="22"/>
              </w:rPr>
            </w:pPr>
            <w:r>
              <w:rPr>
                <w:rFonts w:hint="default" w:ascii="Times New Roman" w:hAnsi="Times New Roman" w:eastAsia="宋体" w:cs="Times New Roman"/>
                <w:b/>
                <w:i w:val="0"/>
                <w:color w:val="auto"/>
                <w:kern w:val="0"/>
                <w:sz w:val="22"/>
                <w:szCs w:val="22"/>
                <w:lang w:val="en-US" w:eastAsia="zh-CN" w:bidi="ar"/>
              </w:rPr>
              <w:t>专家评价</w:t>
            </w:r>
          </w:p>
          <w:p w14:paraId="2E08B046">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意见</w:t>
            </w:r>
          </w:p>
        </w:tc>
      </w:tr>
      <w:tr w14:paraId="3C0F6677">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3222556">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73B7566B">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申办资格（此项为否决项）</w:t>
            </w:r>
          </w:p>
        </w:tc>
        <w:tc>
          <w:tcPr>
            <w:tcW w:w="3175" w:type="dxa"/>
            <w:tcBorders>
              <w:top w:val="nil"/>
              <w:left w:val="nil"/>
              <w:bottom w:val="single" w:color="000000" w:sz="4" w:space="0"/>
              <w:right w:val="single" w:color="000000" w:sz="4" w:space="0"/>
            </w:tcBorders>
            <w:noWrap w:val="0"/>
            <w:tcMar>
              <w:top w:w="15" w:type="dxa"/>
              <w:left w:w="15" w:type="dxa"/>
              <w:right w:w="15" w:type="dxa"/>
            </w:tcMar>
            <w:vAlign w:val="center"/>
          </w:tcPr>
          <w:p w14:paraId="53514BDE">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具有法定办学资质和独立法人资格，实行独立核算，在允许范围内可以开展退役军人各类教育培训的普通高等院校、职业院校（含技工院校）。</w:t>
            </w:r>
          </w:p>
        </w:tc>
        <w:tc>
          <w:tcPr>
            <w:tcW w:w="4020" w:type="dxa"/>
            <w:tcBorders>
              <w:top w:val="nil"/>
              <w:left w:val="nil"/>
              <w:bottom w:val="single" w:color="000000" w:sz="4" w:space="0"/>
              <w:right w:val="single" w:color="000000" w:sz="4" w:space="0"/>
            </w:tcBorders>
            <w:noWrap w:val="0"/>
            <w:tcMar>
              <w:top w:w="15" w:type="dxa"/>
              <w:left w:w="15" w:type="dxa"/>
              <w:right w:w="15" w:type="dxa"/>
            </w:tcMar>
            <w:vAlign w:val="center"/>
          </w:tcPr>
          <w:p w14:paraId="34440EA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①具有法定办学资质和独立法人资格。</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②独立核算。</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③举办过拟设培训专业（职业、工种）的培训班。</w:t>
            </w:r>
          </w:p>
          <w:p w14:paraId="0E3A085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④遵守法律法规，社会信誉良好，法定代表人等高级管理人员无不良信用记录，近5年内学校无违规办学的不良记录。</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 xml:space="preserve">   必须同时满足以上4个条件，其中一项不符合要求，即否决其申办资格。</w:t>
            </w:r>
          </w:p>
        </w:tc>
        <w:tc>
          <w:tcPr>
            <w:tcW w:w="2238" w:type="dxa"/>
            <w:tcBorders>
              <w:top w:val="nil"/>
              <w:left w:val="nil"/>
              <w:bottom w:val="single" w:color="000000" w:sz="4" w:space="0"/>
              <w:right w:val="single" w:color="000000" w:sz="4" w:space="0"/>
            </w:tcBorders>
            <w:noWrap w:val="0"/>
            <w:tcMar>
              <w:top w:w="15" w:type="dxa"/>
              <w:left w:w="15" w:type="dxa"/>
              <w:right w:w="15" w:type="dxa"/>
            </w:tcMar>
            <w:vAlign w:val="center"/>
          </w:tcPr>
          <w:p w14:paraId="6936A26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①办学许可证（民办学校）、法人登记证书。</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②独立核算情况说明。</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③办学机构的行业主管部门出具的不良记录核查情况。</w:t>
            </w:r>
          </w:p>
        </w:tc>
        <w:tc>
          <w:tcPr>
            <w:tcW w:w="662" w:type="dxa"/>
            <w:tcBorders>
              <w:top w:val="nil"/>
              <w:left w:val="nil"/>
              <w:bottom w:val="single" w:color="000000" w:sz="4" w:space="0"/>
              <w:right w:val="single" w:color="000000" w:sz="4" w:space="0"/>
            </w:tcBorders>
            <w:noWrap w:val="0"/>
            <w:tcMar>
              <w:top w:w="15" w:type="dxa"/>
              <w:left w:w="15" w:type="dxa"/>
              <w:right w:w="15" w:type="dxa"/>
            </w:tcMar>
            <w:vAlign w:val="center"/>
          </w:tcPr>
          <w:p w14:paraId="794C5A3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563" w:type="dxa"/>
            <w:tcBorders>
              <w:top w:val="nil"/>
              <w:left w:val="nil"/>
              <w:bottom w:val="single" w:color="000000" w:sz="4" w:space="0"/>
              <w:right w:val="single" w:color="000000" w:sz="4" w:space="0"/>
            </w:tcBorders>
            <w:noWrap w:val="0"/>
            <w:tcMar>
              <w:top w:w="15" w:type="dxa"/>
              <w:left w:w="15" w:type="dxa"/>
              <w:right w:w="15" w:type="dxa"/>
            </w:tcMar>
            <w:vAlign w:val="center"/>
          </w:tcPr>
          <w:p w14:paraId="242C768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nil"/>
              <w:left w:val="nil"/>
              <w:bottom w:val="single" w:color="000000" w:sz="4" w:space="0"/>
              <w:right w:val="single" w:color="000000" w:sz="4" w:space="0"/>
            </w:tcBorders>
            <w:noWrap w:val="0"/>
            <w:tcMar>
              <w:top w:w="15" w:type="dxa"/>
              <w:left w:w="15" w:type="dxa"/>
              <w:right w:w="15" w:type="dxa"/>
            </w:tcMar>
            <w:vAlign w:val="center"/>
          </w:tcPr>
          <w:p w14:paraId="68AE1551">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nil"/>
              <w:left w:val="nil"/>
              <w:bottom w:val="single" w:color="000000" w:sz="4" w:space="0"/>
              <w:right w:val="single" w:color="000000" w:sz="4" w:space="0"/>
            </w:tcBorders>
            <w:noWrap w:val="0"/>
            <w:tcMar>
              <w:top w:w="15" w:type="dxa"/>
              <w:left w:w="15" w:type="dxa"/>
              <w:right w:w="15" w:type="dxa"/>
            </w:tcMar>
            <w:vAlign w:val="center"/>
          </w:tcPr>
          <w:p w14:paraId="545DE84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nil"/>
              <w:left w:val="nil"/>
              <w:bottom w:val="single" w:color="000000" w:sz="4" w:space="0"/>
              <w:right w:val="single" w:color="000000" w:sz="4" w:space="0"/>
            </w:tcBorders>
            <w:noWrap w:val="0"/>
            <w:tcMar>
              <w:top w:w="15" w:type="dxa"/>
              <w:left w:w="15" w:type="dxa"/>
              <w:right w:w="15" w:type="dxa"/>
            </w:tcMar>
            <w:vAlign w:val="center"/>
          </w:tcPr>
          <w:p w14:paraId="1A5D7BA7">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5D2E6102">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B89758">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2AD634C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制度建设</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646B8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学校各项管理制度健全，包括针对培训项目的教学管理、教师管理、学员管理、财务管理、卫生安全管理、设备管理等制度及应对突发事件的应急预案。</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217A6D0">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①各项管理制度健全，记4分；缺1项扣1分；内容不规范的，酌情扣分。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②有突发事件应急预案，记2分；没有，不记分。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EB94C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学校规章制度汇编</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56F4F0">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6</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BCF5BA">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3C089C">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30CA37">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9A70D0">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096FDC4A">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49784D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4BA588CF">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综合评价</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B5C20A">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遵守职业培训和职业教育法律法规，社会信誉良好，法人代表无不良诚信记录，被教育或人力资源社会保障部门批准为市级以上示范校（示范校、骨干校、“双高计划”高职院校、技能型名校、优质特色校、规范化学校、“双优计划”中职学校、高技能人才培训基地）或同等级别部门批准的示范基地。近5年内学校无违规办学的不良记录。</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E1C72B0">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①遵守职业培训和职业教育法律法规，社会信誉良好，记2分。</w:t>
            </w:r>
          </w:p>
          <w:p w14:paraId="360F2F78">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被教育或人力资源社会保障部门批准为国家级示范校（示范校、骨干校、“双高计划”高职院校、技能型名校、优质特色校、规范化学校、“双优计划”中职学校、高技能人才培训基地）或同等级别部门批准的示范基地二项以上，记3分，一项记2分；省级二项以上，记2.5分，一项记1.5分；市级二项以上，记1分，一项记0.5分。</w:t>
            </w:r>
          </w:p>
          <w:p w14:paraId="7E9C50A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③近5年内学校无违规办学的不良记录，记1.5分。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015E5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①获奖情况及各类媒体报道资料。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②各级各类荣誉证明材料（文件、证书、标志牌等）。</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③近5年内无违规办学的不良记录的证明。</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7BBA2EB">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3744AE7">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9F8B771">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8F9242">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64701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66AB187E">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1676A93">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4</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5A46C992">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培训基础</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857501">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学校有良好的教育培训业绩和基础，熟悉退役军人情况，愿意承担退役军人教育培训和就业创业工作。</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BC7D9FE">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①学校有良好的教育培训业绩和基础，记5分；没有业绩和基础的，不记分。</w:t>
            </w:r>
          </w:p>
          <w:p w14:paraId="6665BB69">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②从事过教育培训和就业创业工作，记5分；未从事过的，不记分。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53FF801">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①近5年内与拟设教育培训专业（职业、工种）有关的资料档案。</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②近5年内教育培训和就业创业工作档案资料。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4FA84B">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2E8C40">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F0DEB3">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F272334">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AA160F">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13197D66">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1041760">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5</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74FFE84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专业设置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6430BF2">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学校立足当地产业发展实际，开发设置有5个以上适合退役军人高质量就业的特色培训专业（职业、工种、项目，下同），并具有与培训专业、培训规模相适应的场地、设施设备等条件。</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6057F9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①开发设置有5个以上适合退役军人高质量就业的特色教育培训专业（职业、工种），记5分；每少一个教育培训专业（职业、工种）扣1分。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②具有与教育培训专业、培训规模相适应的场地、设施设备等条件，记3分，条件不完善，酌情扣分。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CBBF9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①拟设教育培训专业（职业、工种）的可行性分析报告。</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②各教育培训专业（职业、工种）的培训设备设施明细表；现场查看设备设施。</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CC92138">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118CB66">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46DD25">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F08E78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478F09">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479E688F">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0BB6CA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6</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0354D212">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培训条件</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6EA339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有标准理论教室5间以上，具备良好的照明、冷暖、通风条件，桌椅、讲台、多媒体、计算机教室等教学设备齐全。有满足培训专业需要的互联网线上教学平台，所训专业理论课程可依托线上平台完成。</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 xml:space="preserve">每个培训专业具有独立的实训场所，符合环保、劳保、消防、卫生等行政许可要求及安全规定。实训设施设备数量、先进性程度要与承训人数总量相适应，保证参训学员有充足的实训工位。 </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招收住宿学员的，提供的食宿场所应符合环保、消防、卫生等行政许可要求及安全规定。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6B763D">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①有标准理论教室</w:t>
            </w:r>
            <w:r>
              <w:rPr>
                <w:rFonts w:hint="eastAsia" w:ascii="Times New Roman" w:hAnsi="Times New Roman" w:eastAsia="仿宋_GB2312" w:cs="Times New Roman"/>
                <w:i w:val="0"/>
                <w:color w:val="auto"/>
                <w:kern w:val="0"/>
                <w:sz w:val="22"/>
                <w:szCs w:val="22"/>
                <w:lang w:val="en-US" w:eastAsia="zh-CN" w:bidi="ar"/>
              </w:rPr>
              <w:t>5</w:t>
            </w:r>
            <w:r>
              <w:rPr>
                <w:rFonts w:hint="default" w:ascii="Times New Roman" w:hAnsi="Times New Roman" w:eastAsia="仿宋_GB2312" w:cs="Times New Roman"/>
                <w:i w:val="0"/>
                <w:color w:val="auto"/>
                <w:kern w:val="0"/>
                <w:sz w:val="22"/>
                <w:szCs w:val="22"/>
                <w:lang w:val="en-US" w:eastAsia="zh-CN" w:bidi="ar"/>
              </w:rPr>
              <w:t>间以上，具备良好的照明、冷暖、通风条件，桌椅、讲台、多媒体、计算机教室等教学设备齐全，记2分；每少一间教室，扣0.5分；条件不完善的，酌情扣分。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②有满足培训专业需要的互联网线上教学平台，所训专业理论课程可依托线上平台完成，记2分，不具备的，不记分。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③每个培训专业具有独立的实训场所，符合环保、劳保、消防、卫生等行政许可要求及安全规定，记2分；条件不完善的，酌情扣分。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④实训设施设备数量、先进性程度要与承训人数总量相适应，保证参训学员有充足的实训工位，记2分，数量不足、先进性程度不高、实训工位数不足，酌情扣分。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⑤食宿条件符合规定，记2分；条件不完善的，酌情扣分。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B91DC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①教室平面布局图；教学设备明细表。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②互联网教学平台。</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③各培训专业（职业、工种）实训场所平面图。</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④实训设备设施清单（应注明数量、先进性、价值等内容）；现场查看实训工位情况。</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⑤有关食宿的相关制度及必备的行政许可证明；现场查看食宿条件。</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39E135">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6D1FB4">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5BE6F3">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E12C846">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67988A">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745F9E34">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CEAAB5">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7</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5CE73D0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财务管理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4A69980">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学校应有稳定、可靠的经费来源，并承诺对培训专业在财力、物力、人力等方面给予支持。按照规定执行学校财务管理制度，经费使用合法合规，账目清楚。</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79A9392">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①学校应有稳定、可靠的经费来源，并承诺对培训专业在财力、物力、人力等方面给予支持，记5分；未提供经费来源证明及未承诺给予支持的，不记分。</w:t>
            </w:r>
          </w:p>
          <w:p w14:paraId="01C513D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②按照规定执行学校财务管理制度，经费使用合法合规，账目清楚，记5分。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E38B8C">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①学校经费来源证明，近3年经费预算、批复文件。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②近5年内与拟设教育培训专业（职业、工种）相关培训的资金使用凭证等资料。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C0ED941">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55F24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BB1FF2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3756F3">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014585">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64913018">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9725469">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42EF423B">
            <w:pPr>
              <w:keepNext w:val="0"/>
              <w:keepLines w:val="0"/>
              <w:widowControl/>
              <w:suppressLineNumbers w:val="0"/>
              <w:autoSpaceDE w:val="0"/>
              <w:autoSpaceDN/>
              <w:spacing w:before="0" w:beforeAutospacing="0" w:after="0" w:afterAutospacing="0" w:line="300" w:lineRule="exact"/>
              <w:ind w:left="0" w:right="0"/>
              <w:jc w:val="both"/>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项目管理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604B0F1">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培训项目负责人应具备较高职业道德和专业素质，具有大专以上文化程度及副高以上专业技术职务任职资格或二级及以上国家职业资格，有5年以上职业教育或职业培训工作经历，熟悉技能人才培养和退役军人职业技能培训政策。</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培训专业配备相应数量的专职管理人员。专职管理人员应具有大专以上文化程度及中级以上专业技术职称或三级以上国家职业资格，有3年以上职业教育或职业培训工作经历，具有丰富的教学管理经验。</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管理人员中还应配备优秀退役军人“老班长”担任专职班主任，从事学员思政教育、心理疏导和经验分享。</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D35DB3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 xml:space="preserve"> ①培训项目负责人应具备较高职业道德和专业素质，具有大专以上文化程度及副高以上专业技术职务任职资格或二级及以上国家职业资格，记2分。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②有5年以上职业教育或职业培训工作经历，熟悉技能人才培养和退役军人职业技能培训政策，记2分。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③专职管理人员应具有大专以上文化程度及中级以上专业技术职称或三级以上国家职业资格，有3年以上职业教育或职业培训工作经历，具有丰富的教学管理经验，记2分。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④管理人员中还应配备优秀退役军人“老班长”担任专职班主任，记2分。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BE35A68">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①学历、职称、职业资格证书等电子版原件照片及纸质复印件。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②5年以上职业教育或职业培训工作经历证明。</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③专职管理人员汇总表；专职管理人员学历、职称、职业资格证书等电子版原件照片及纸质复印件；3年以上职业教育或职业培训工作经历证明资料。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④专职班主任退役军人证明资料。</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DB838D">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705ACAD">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5CE6293">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AEBAEBF">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4134EB3">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68974E53">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DB396B4">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9</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02D4FDD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师资队伍</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1D34B4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具备与教育培训规模相适应、结构合理的专职教师队伍。每个培训专业至少配备20名以上理论课教师和40名以上实训指导教师，具有与其教学岗位相应的教师资格证书。实训指导教师应具有二级及以上职业资格等级或高级以上生产实习指导教师专业技术职务，具有丰富的职业技能竞赛经验。教师有规范的劳动合同或聘用合同，档案齐全、规范。</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FDDA16E">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①每个培训专业至少配备20名以上理论课教师和40名以上实训指导教师，具有与其教学岗位相应的教师资格证书，记4分。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②实训指导教师应具有二级及以上职业资格等级或高级以上生产实习指导教师专业技术职务，具有丰富的职业技能竞赛经验，记4分。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③教师有规范的劳动合同或聘用合同，档案齐全、规范，记2分。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85FC939">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①按培训专业（职业、工种）分列的教师情况汇总表。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②教师的教师资格证、学历、职称、职业资格证书等电子版原件照片及纸质复印件。</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③参与或指导职业技能竞赛经历及获奖证明资料。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④正规的劳动合同或聘用合同。</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03EB17E">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A2D43A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4B000BB">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B5D5DAB">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FE03528">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2C7C48C1">
        <w:tblPrEx>
          <w:tblCellMar>
            <w:top w:w="0" w:type="dxa"/>
            <w:left w:w="0" w:type="dxa"/>
            <w:bottom w:w="0" w:type="dxa"/>
            <w:right w:w="0" w:type="dxa"/>
          </w:tblCellMar>
        </w:tblPrEx>
        <w:trPr>
          <w:trHeight w:val="4140" w:hRule="atLeast"/>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68D5BB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0F226B92">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培训质量</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F6FFE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学校有较强的教育培训能力，近3年来每年组织开展各类教育培训人数不低于2000人次，并建有培训评估反馈机制。保证培训质量，学校每年对培训专业至少进行1次全面教学质量检查。教育培训就业率达90%以上，用人单位满意率达80%以上，学员就业满意率达80%以上。</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D4043EC">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①近3年来每年组织开展各类职业技能培训人数不低于2000人次，记4分；每少100人，扣0.5分。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②建有培训评估反馈机制，记3分；未建立，不记分。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③学校每年对培训专业至少进行1次全面教学质量检查，记3分。</w:t>
            </w:r>
          </w:p>
          <w:p w14:paraId="7CC8D6EF">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④教育培训就业率达90%以上，用人单位满意率达80%以上，学员就业满意率达80%以上，记5分。教育培训就业率达90%以上，用人单位满意率达80%以上，学员就业满意率达80%以上，加5分。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94068CA">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①近3年各类职业技能培训情况统计表。</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②培训评估反馈机制佐证材料。</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③近3年学校每年对培训专业进行教学督导、教学检查、质量评价等资料。</w:t>
            </w:r>
          </w:p>
          <w:p w14:paraId="2589F43E">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④学员就业劳动合同、用人单位和学员满意度调查表。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B98B1D">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15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9B7017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D511A1C">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58E0EA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96B53F1">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02265DCB">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69735A7">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11</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309634FB">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教学管理</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00E407C">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根据国家职业标准，制定与培训专业相对应的实施性教学(培训)计划、大纲，并选用规范培训教材。</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AEDAD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 xml:space="preserve"> ①根据国家职业标准，制定与培训专业相对应的实施性教学(培训)计划、大纲，记5分；不够规范的，酌情扣分。</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②选用规范培训教材，记3分；不符合规定的，不记分。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90078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①各培训专业（职业、工种）的实施性教学（培训）计划、大纲。</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②培训教材明细表及教材实物。</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78C9A9">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8</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79404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EAAE02E">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B06B4B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71769B">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r>
      <w:tr w14:paraId="47859211">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A3AF87C">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12</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7E5EB4E3">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机构设置</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F1C7D57">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设有专门的心理调适、能力测试、职业规划、就业创业指导部门，为参训学员提供就业创业专业指导。</w:t>
            </w: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FD3E201">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设有专门的心理调适、能力测试、职业规划、就业创业指导部门，记5分；缺少一个部门，扣2分。</w:t>
            </w: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A240EC">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①近5年为培训学员进行心理调适、能力测试、职业规划、就业创业指导的相关记录。</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②各部门职责。</w:t>
            </w:r>
            <w:r>
              <w:rPr>
                <w:rFonts w:hint="default" w:ascii="Times New Roman" w:hAnsi="Times New Roman" w:eastAsia="仿宋_GB2312" w:cs="Times New Roman"/>
                <w:i w:val="0"/>
                <w:color w:val="auto"/>
                <w:kern w:val="0"/>
                <w:sz w:val="22"/>
                <w:szCs w:val="22"/>
                <w:lang w:val="en-US" w:eastAsia="zh-CN" w:bidi="ar"/>
              </w:rPr>
              <w:br w:type="textWrapping"/>
            </w:r>
            <w:r>
              <w:rPr>
                <w:rFonts w:hint="default" w:ascii="Times New Roman" w:hAnsi="Times New Roman" w:eastAsia="仿宋_GB2312" w:cs="Times New Roman"/>
                <w:i w:val="0"/>
                <w:color w:val="auto"/>
                <w:kern w:val="0"/>
                <w:sz w:val="22"/>
                <w:szCs w:val="22"/>
                <w:lang w:val="en-US" w:eastAsia="zh-CN" w:bidi="ar"/>
              </w:rPr>
              <w:t>③各部门人员情况汇总表。</w:t>
            </w: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345970D">
            <w:pPr>
              <w:keepNext w:val="0"/>
              <w:keepLines w:val="0"/>
              <w:widowControl/>
              <w:suppressLineNumbers w:val="0"/>
              <w:autoSpaceDE w:val="0"/>
              <w:autoSpaceDN/>
              <w:spacing w:before="0" w:beforeAutospacing="0" w:after="0" w:afterAutospacing="0" w:line="300" w:lineRule="exact"/>
              <w:ind w:left="0" w:right="0"/>
              <w:jc w:val="center"/>
              <w:textAlignment w:val="top"/>
              <w:rPr>
                <w:rFonts w:hint="default" w:ascii="Times New Roman" w:hAnsi="Times New Roman" w:eastAsia="仿宋_GB2312" w:cs="Times New Roman"/>
                <w:i w:val="0"/>
                <w:color w:val="auto"/>
                <w:kern w:val="0"/>
                <w:sz w:val="22"/>
                <w:szCs w:val="22"/>
              </w:rPr>
            </w:pPr>
            <w:r>
              <w:rPr>
                <w:rFonts w:hint="default" w:ascii="Times New Roman" w:hAnsi="Times New Roman" w:eastAsia="仿宋_GB2312" w:cs="Times New Roman"/>
                <w:i w:val="0"/>
                <w:color w:val="auto"/>
                <w:kern w:val="0"/>
                <w:sz w:val="22"/>
                <w:szCs w:val="22"/>
                <w:lang w:val="en-US" w:eastAsia="zh-CN" w:bidi="ar"/>
              </w:rPr>
              <w:t>5</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D04261">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E2ED824">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6DA9420">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FD712D5">
            <w:pPr>
              <w:keepNext w:val="0"/>
              <w:keepLines w:val="0"/>
              <w:widowControl/>
              <w:suppressLineNumbers w:val="0"/>
              <w:autoSpaceDE w:val="0"/>
              <w:autoSpaceDN/>
              <w:spacing w:before="0" w:beforeAutospacing="0" w:after="0" w:afterAutospacing="0" w:line="300" w:lineRule="exact"/>
              <w:ind w:left="0" w:right="0"/>
              <w:jc w:val="both"/>
              <w:textAlignment w:val="top"/>
              <w:rPr>
                <w:rFonts w:hint="default" w:ascii="Times New Roman" w:hAnsi="Times New Roman" w:eastAsia="仿宋_GB2312" w:cs="Times New Roman"/>
                <w:i w:val="0"/>
                <w:color w:val="auto"/>
                <w:kern w:val="0"/>
                <w:sz w:val="22"/>
                <w:szCs w:val="22"/>
              </w:rPr>
            </w:pPr>
          </w:p>
        </w:tc>
      </w:tr>
      <w:tr w14:paraId="33CB6986">
        <w:tblPrEx>
          <w:tblCellMar>
            <w:top w:w="0" w:type="dxa"/>
            <w:left w:w="0" w:type="dxa"/>
            <w:bottom w:w="0" w:type="dxa"/>
            <w:right w:w="0" w:type="dxa"/>
          </w:tblCellMar>
        </w:tblPrEx>
        <w:trPr>
          <w:jc w:val="center"/>
        </w:trPr>
        <w:tc>
          <w:tcPr>
            <w:tcW w:w="36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288313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13</w:t>
            </w:r>
          </w:p>
        </w:tc>
        <w:tc>
          <w:tcPr>
            <w:tcW w:w="963" w:type="dxa"/>
            <w:tcBorders>
              <w:top w:val="nil"/>
              <w:left w:val="nil"/>
              <w:bottom w:val="single" w:color="000000" w:sz="4" w:space="0"/>
              <w:right w:val="single" w:color="000000" w:sz="4" w:space="0"/>
            </w:tcBorders>
            <w:noWrap w:val="0"/>
            <w:tcMar>
              <w:top w:w="15" w:type="dxa"/>
              <w:left w:w="15" w:type="dxa"/>
              <w:right w:w="15" w:type="dxa"/>
            </w:tcMar>
            <w:vAlign w:val="center"/>
          </w:tcPr>
          <w:p w14:paraId="2E60E186">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合计</w:t>
            </w:r>
          </w:p>
        </w:tc>
        <w:tc>
          <w:tcPr>
            <w:tcW w:w="317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D9BC46E">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40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046FBCE">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223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0E3A547">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仿宋_GB2312" w:cs="Times New Roman"/>
                <w:i w:val="0"/>
                <w:color w:val="auto"/>
                <w:kern w:val="2"/>
                <w:sz w:val="22"/>
                <w:szCs w:val="22"/>
              </w:rPr>
            </w:pPr>
          </w:p>
        </w:tc>
        <w:tc>
          <w:tcPr>
            <w:tcW w:w="66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053E170">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Times New Roman" w:hAnsi="Times New Roman" w:eastAsia="仿宋_GB2312" w:cs="Times New Roman"/>
                <w:i w:val="0"/>
                <w:color w:val="auto"/>
                <w:kern w:val="2"/>
                <w:sz w:val="22"/>
                <w:szCs w:val="22"/>
              </w:rPr>
            </w:pPr>
            <w:r>
              <w:rPr>
                <w:rFonts w:hint="default" w:ascii="Times New Roman" w:hAnsi="Times New Roman" w:eastAsia="仿宋_GB2312" w:cs="Times New Roman"/>
                <w:i w:val="0"/>
                <w:color w:val="auto"/>
                <w:kern w:val="0"/>
                <w:sz w:val="22"/>
                <w:szCs w:val="22"/>
                <w:lang w:val="en-US" w:eastAsia="zh-CN" w:bidi="ar"/>
              </w:rPr>
              <w:t>100</w:t>
            </w:r>
          </w:p>
        </w:tc>
        <w:tc>
          <w:tcPr>
            <w:tcW w:w="56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D5B9552">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8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C7F9922">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60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6294142">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c>
          <w:tcPr>
            <w:tcW w:w="9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081D4E">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仿宋_GB2312" w:cs="Times New Roman"/>
                <w:i w:val="0"/>
                <w:color w:val="auto"/>
                <w:kern w:val="2"/>
                <w:sz w:val="22"/>
                <w:szCs w:val="22"/>
              </w:rPr>
            </w:pPr>
          </w:p>
        </w:tc>
      </w:tr>
      <w:tr w14:paraId="0C350E4A">
        <w:tblPrEx>
          <w:tblCellMar>
            <w:top w:w="0" w:type="dxa"/>
            <w:left w:w="0" w:type="dxa"/>
            <w:bottom w:w="0" w:type="dxa"/>
            <w:right w:w="0" w:type="dxa"/>
          </w:tblCellMar>
        </w:tblPrEx>
        <w:trPr>
          <w:jc w:val="center"/>
        </w:trPr>
        <w:tc>
          <w:tcPr>
            <w:tcW w:w="14523" w:type="dxa"/>
            <w:gridSpan w:val="10"/>
            <w:tcBorders>
              <w:top w:val="nil"/>
              <w:left w:val="nil"/>
              <w:bottom w:val="nil"/>
              <w:right w:val="nil"/>
            </w:tcBorders>
            <w:noWrap w:val="0"/>
            <w:tcMar>
              <w:top w:w="15" w:type="dxa"/>
              <w:left w:w="15" w:type="dxa"/>
              <w:right w:w="15" w:type="dxa"/>
            </w:tcMar>
            <w:vAlign w:val="center"/>
          </w:tcPr>
          <w:p w14:paraId="2DF4151F">
            <w:pPr>
              <w:keepNext w:val="0"/>
              <w:keepLines w:val="0"/>
              <w:widowControl/>
              <w:suppressLineNumbers w:val="0"/>
              <w:autoSpaceDE w:val="0"/>
              <w:autoSpaceDN/>
              <w:spacing w:before="0" w:beforeAutospacing="0" w:after="0" w:afterAutospacing="0" w:line="300" w:lineRule="exact"/>
              <w:ind w:left="0" w:right="0"/>
              <w:jc w:val="both"/>
              <w:textAlignment w:val="bottom"/>
              <w:rPr>
                <w:rFonts w:hint="default" w:ascii="Times New Roman" w:hAnsi="Times New Roman" w:eastAsia="宋体" w:cs="Times New Roman"/>
                <w:b/>
                <w:i w:val="0"/>
                <w:color w:val="auto"/>
                <w:kern w:val="2"/>
                <w:sz w:val="22"/>
                <w:szCs w:val="22"/>
              </w:rPr>
            </w:pPr>
            <w:r>
              <w:rPr>
                <w:rFonts w:hint="default" w:ascii="Times New Roman" w:hAnsi="Times New Roman" w:eastAsia="宋体" w:cs="Times New Roman"/>
                <w:b/>
                <w:i w:val="0"/>
                <w:color w:val="auto"/>
                <w:kern w:val="0"/>
                <w:sz w:val="22"/>
                <w:szCs w:val="22"/>
                <w:lang w:val="en-US" w:eastAsia="zh-CN" w:bidi="ar"/>
              </w:rPr>
              <w:t>注：自评分90分以上的可申报。</w:t>
            </w:r>
          </w:p>
        </w:tc>
      </w:tr>
    </w:tbl>
    <w:p w14:paraId="32C6E41D">
      <w:r>
        <w:rPr>
          <w:rFonts w:hint="default" w:ascii="Times New Roman" w:hAnsi="Times New Roman" w:eastAsia="仿宋_GB2312" w:cs="Times New Roman"/>
          <w:color w:val="auto"/>
          <w:kern w:val="2"/>
          <w:sz w:val="32"/>
          <w:szCs w:val="32"/>
        </w:rPr>
        <w:br w:type="page"/>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185E5B-A56B-4324-9668-C2906CA23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1F8293-6986-4BC0-B845-44F0017673D0}"/>
  </w:font>
  <w:font w:name="方正小标宋简体">
    <w:panose1 w:val="02000000000000000000"/>
    <w:charset w:val="86"/>
    <w:family w:val="auto"/>
    <w:pitch w:val="default"/>
    <w:sig w:usb0="00000001" w:usb1="08000000" w:usb2="00000000" w:usb3="00000000" w:csb0="00040000" w:csb1="00000000"/>
    <w:embedRegular r:id="rId3" w:fontKey="{441B4F00-B1E0-4AA9-954A-ABC2B4386038}"/>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embedRegular r:id="rId4" w:fontKey="{4363853A-C924-46C5-B364-3863243D03B5}"/>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5" w:fontKey="{6BF0CD94-5F10-497F-AEF2-D210782F4F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9BC9">
    <w:pPr>
      <w:pStyle w:val="4"/>
      <w:tabs>
        <w:tab w:val="left" w:pos="81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E08E1A">
                          <w:pPr>
                            <w:pStyle w:val="4"/>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7AE08E1A">
                    <w:pPr>
                      <w:pStyle w:val="4"/>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6C04"/>
    <w:multiLevelType w:val="multilevel"/>
    <w:tmpl w:val="0F6D6C04"/>
    <w:lvl w:ilvl="0" w:tentative="0">
      <w:start w:val="1"/>
      <w:numFmt w:val="chineseCountingThousand"/>
      <w:suff w:val="nothing"/>
      <w:lvlText w:val="%1、"/>
      <w:lvlJc w:val="left"/>
      <w:pPr>
        <w:ind w:left="0" w:firstLine="635"/>
      </w:pPr>
      <w:rPr>
        <w:rFonts w:hint="eastAsia"/>
      </w:rPr>
    </w:lvl>
    <w:lvl w:ilvl="1" w:tentative="0">
      <w:start w:val="1"/>
      <w:numFmt w:val="chineseCountingThousand"/>
      <w:suff w:val="nothing"/>
      <w:lvlText w:val="（%2）"/>
      <w:lvlJc w:val="left"/>
      <w:pPr>
        <w:ind w:left="0" w:firstLine="635"/>
      </w:pPr>
      <w:rPr>
        <w:rFonts w:hint="eastAsia"/>
      </w:rPr>
    </w:lvl>
    <w:lvl w:ilvl="2" w:tentative="0">
      <w:start w:val="1"/>
      <w:numFmt w:val="decimal"/>
      <w:pStyle w:val="2"/>
      <w:suff w:val="space"/>
      <w:lvlText w:val="%3."/>
      <w:lvlJc w:val="left"/>
      <w:pPr>
        <w:ind w:left="-635" w:firstLine="635"/>
      </w:pPr>
      <w:rPr>
        <w:rFonts w:hint="eastAsia"/>
      </w:rPr>
    </w:lvl>
    <w:lvl w:ilvl="3" w:tentative="0">
      <w:start w:val="1"/>
      <w:numFmt w:val="decimal"/>
      <w:lvlText w:val="%1.%2.%3.%4."/>
      <w:lvlJc w:val="left"/>
      <w:pPr>
        <w:tabs>
          <w:tab w:val="left" w:pos="3669"/>
        </w:tabs>
        <w:ind w:left="3669" w:hanging="851"/>
      </w:pPr>
      <w:rPr>
        <w:rFonts w:hint="eastAsia"/>
      </w:rPr>
    </w:lvl>
    <w:lvl w:ilvl="4" w:tentative="0">
      <w:start w:val="1"/>
      <w:numFmt w:val="decimal"/>
      <w:lvlText w:val="%1.%2.%3.%4.%5."/>
      <w:lvlJc w:val="left"/>
      <w:pPr>
        <w:tabs>
          <w:tab w:val="left" w:pos="3810"/>
        </w:tabs>
        <w:ind w:left="3810" w:hanging="992"/>
      </w:pPr>
      <w:rPr>
        <w:rFonts w:hint="eastAsia"/>
      </w:rPr>
    </w:lvl>
    <w:lvl w:ilvl="5" w:tentative="0">
      <w:start w:val="1"/>
      <w:numFmt w:val="decimal"/>
      <w:lvlText w:val="%1.%2.%3.%4.%5.%6."/>
      <w:lvlJc w:val="left"/>
      <w:pPr>
        <w:tabs>
          <w:tab w:val="left" w:pos="3952"/>
        </w:tabs>
        <w:ind w:left="3952" w:hanging="1134"/>
      </w:pPr>
      <w:rPr>
        <w:rFonts w:hint="eastAsia"/>
      </w:rPr>
    </w:lvl>
    <w:lvl w:ilvl="6" w:tentative="0">
      <w:start w:val="1"/>
      <w:numFmt w:val="decimal"/>
      <w:lvlText w:val="%1.%2.%3.%4.%5.%6.%7."/>
      <w:lvlJc w:val="left"/>
      <w:pPr>
        <w:tabs>
          <w:tab w:val="left" w:pos="4094"/>
        </w:tabs>
        <w:ind w:left="4094" w:hanging="1276"/>
      </w:pPr>
      <w:rPr>
        <w:rFonts w:hint="eastAsia"/>
      </w:rPr>
    </w:lvl>
    <w:lvl w:ilvl="7" w:tentative="0">
      <w:start w:val="1"/>
      <w:numFmt w:val="decimal"/>
      <w:lvlText w:val="%1.%2.%3.%4.%5.%6.%7.%8."/>
      <w:lvlJc w:val="left"/>
      <w:pPr>
        <w:tabs>
          <w:tab w:val="left" w:pos="4236"/>
        </w:tabs>
        <w:ind w:left="4236" w:hanging="1418"/>
      </w:pPr>
      <w:rPr>
        <w:rFonts w:hint="eastAsia"/>
      </w:rPr>
    </w:lvl>
    <w:lvl w:ilvl="8" w:tentative="0">
      <w:start w:val="1"/>
      <w:numFmt w:val="decimal"/>
      <w:lvlText w:val="%1.%2.%3.%4.%5.%6.%7.%8.%9."/>
      <w:lvlJc w:val="left"/>
      <w:pPr>
        <w:tabs>
          <w:tab w:val="left" w:pos="4377"/>
        </w:tabs>
        <w:ind w:left="437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F3444"/>
    <w:rsid w:val="0CC14878"/>
    <w:rsid w:val="610F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numPr>
        <w:ilvl w:val="2"/>
        <w:numId w:val="1"/>
      </w:numPr>
      <w:outlineLvl w:val="2"/>
    </w:pPr>
    <w:rPr>
      <w:smallCaps/>
      <w:szCs w:val="3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qFormat/>
    <w:uiPriority w:val="0"/>
    <w:pPr>
      <w:keepNext w:val="0"/>
      <w:keepLines w:val="0"/>
      <w:widowControl w:val="0"/>
      <w:suppressLineNumbers w:val="0"/>
      <w:spacing w:after="120" w:afterAutospacing="0"/>
      <w:ind w:left="420" w:leftChars="200"/>
      <w:jc w:val="both"/>
    </w:pPr>
    <w:rPr>
      <w:rFonts w:hint="default" w:ascii="Calibri" w:hAnsi="Calibri" w:eastAsia="宋体" w:cs="Times New Roman"/>
      <w:kern w:val="2"/>
      <w:sz w:val="21"/>
      <w:szCs w:val="21"/>
      <w:lang w:val="en-US" w:eastAsia="zh-CN" w:bidi="ar"/>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2025-08-05T10:05:00Z</dcterms:created>
  <dc:creator>miss秋秋</dc:creator>
  <cp:lastModifiedBy>miss秋秋</cp:lastModifiedBy>
  <dcterms:modified xsi:type="dcterms:W3CDTF">2025-08-05T10:07:31Z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4125FA8AB835440693339D57878BE13F_13</vt:lpwstr>
  </property>
  <property fmtid="{D5CDD505-2E9C-101B-9397-08002B2CF9AE}" pid="4" name="KSOTemplateDocerSaveRecord">
    <vt:lpwstr>eyJoZGlkIjoiMzEwNTM5NzYwMDRjMzkwZTVkZjY2ODkwMGIxNGU0OTUiLCJ1c2VySWQiOiI1ODkzNTM0NDIifQ==</vt:lpwstr>
  </property>
</Properties>
</file>